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5410"/>
        <w:gridCol w:w="1837"/>
      </w:tblGrid>
      <w:tr w:rsidR="00D043F2" w:rsidRPr="00D043F2" w:rsidTr="00D043F2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43F2" w:rsidRPr="00D043F2" w:rsidRDefault="00D043F2" w:rsidP="00C013F3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D043F2">
              <w:rPr>
                <w:rFonts w:ascii="Times New Roman" w:hAnsi="Times New Roman" w:cs="Times New Roman"/>
                <w:b/>
              </w:rPr>
              <w:t xml:space="preserve">Tantárgy </w:t>
            </w:r>
            <w:r w:rsidRPr="00D043F2">
              <w:rPr>
                <w:rFonts w:ascii="Times New Roman" w:hAnsi="Times New Roman" w:cs="Times New Roman"/>
              </w:rPr>
              <w:t>neve:</w:t>
            </w:r>
            <w:r w:rsidRPr="00D043F2">
              <w:rPr>
                <w:rFonts w:ascii="Times New Roman" w:hAnsi="Times New Roman" w:cs="Times New Roman"/>
                <w:b/>
              </w:rPr>
              <w:t xml:space="preserve"> Művelődéstörténet könyvtári vonatkozásai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43F2" w:rsidRPr="00D043F2" w:rsidRDefault="00D043F2" w:rsidP="00C013F3">
            <w:pPr>
              <w:suppressAutoHyphens/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D043F2">
              <w:rPr>
                <w:rFonts w:ascii="Times New Roman" w:hAnsi="Times New Roman" w:cs="Times New Roman"/>
                <w:b/>
              </w:rPr>
              <w:t>Kreditértéke: 3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karaktere”: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70/30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az adott </w:t>
            </w:r>
            <w:r w:rsidRPr="00B20C4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félévben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: házi dolgozatok készítése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módok</w:t>
            </w:r>
            <w:r w:rsidRPr="00B20C49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 xml:space="preserve"> (ha vannak)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: --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-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B20C49" w:rsidRPr="00B20C49" w:rsidTr="00D043F2">
        <w:trPr>
          <w:trHeight w:val="280"/>
        </w:trPr>
        <w:tc>
          <w:tcPr>
            <w:tcW w:w="89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tantárgy célja széles művelődéstörténeti alapvetéssel bemutatni az írás, a könyv és a könyvtár különleges jelentőségét az ókori és középkori kultúra és társadalom fejlődésében. Tematika: A nagy írásrendszerek létrejötte, a fontosabb ókori és középkori írások. A könyv fogalma; a könyv alakváltozásai az ókorban. A kéziratos könyv (a kódex) a középkorban főleg a korabeli Magyarországon. Az ókori könyvtárak. A könyvtári kultúra fejlődése a középkorban és a reneszánsz idején. A könyvtárak a középkori Magyarországon. A 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Bibliotheca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Corviniana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</w:p>
          <w:p w:rsidR="00B20C49" w:rsidRPr="00B20C49" w:rsidRDefault="00B20C49" w:rsidP="00B20C49">
            <w:pPr>
              <w:tabs>
                <w:tab w:val="left" w:pos="7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hallgatók gyakorlati feladatot is oldanak meg.</w:t>
            </w: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20C49" w:rsidRPr="00B20C49" w:rsidRDefault="00B20C49" w:rsidP="00B20C4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B20C49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B20C49" w:rsidRPr="00B20C49" w:rsidRDefault="00B20C49" w:rsidP="00B20C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Kéki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Béla: Az írás története. Budapest: Vince, 2000. ISBN: 963-9192-65-1</w:t>
            </w:r>
          </w:p>
          <w:p w:rsidR="00B20C49" w:rsidRPr="00B20C49" w:rsidRDefault="00B20C49" w:rsidP="00B20C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Funke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Fritz: Könyvismeret: Könyvtörténeti áttekintés. Budapest: Osiris, 2005. ISBN: 963-389-816-1</w:t>
            </w:r>
          </w:p>
          <w:p w:rsidR="00B20C49" w:rsidRPr="00B20C49" w:rsidRDefault="00B20C49" w:rsidP="00B20C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könyv és könyvtár a magyar társadalom életében az államalapítástól 1849-ig / szerk. Kovács Máté. – Budapest: Gondolat, 1963.</w:t>
            </w:r>
          </w:p>
          <w:p w:rsidR="00B20C49" w:rsidRPr="00B20C49" w:rsidRDefault="00B20C49" w:rsidP="00B20C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Madas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Edit, Monok István: A könyvkultúra Magyarországon a kezdetektől 1800-ig. Budapest: 2003. ISBN 963-506-4527</w:t>
            </w:r>
          </w:p>
          <w:p w:rsidR="00B20C49" w:rsidRPr="00B20C49" w:rsidRDefault="00B20C49" w:rsidP="00B20C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holló jegyében: Fejezetek a corvinák történetéből / szerk. Monok István. – Budapest: Balassi, 2004. ISBN: 963 506 452 7 </w:t>
            </w:r>
          </w:p>
        </w:tc>
      </w:tr>
      <w:tr w:rsidR="00B20C49" w:rsidRPr="00B20C49" w:rsidTr="00D043F2">
        <w:tc>
          <w:tcPr>
            <w:tcW w:w="8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20C49" w:rsidRPr="00B20C49" w:rsidRDefault="00B20C49" w:rsidP="00B20C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B20C49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B20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B20C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B20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B20C4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B20C49" w:rsidRPr="00B20C49" w:rsidTr="00D043F2">
        <w:trPr>
          <w:trHeight w:val="296"/>
        </w:trPr>
        <w:tc>
          <w:tcPr>
            <w:tcW w:w="895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Ismeri az írásbeli közlés és a könyvtár különleges történeti jelentőségét az információáramlás, valamint az egyetemes és a magyar művelődés fejlődésében.</w:t>
            </w:r>
          </w:p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Tisztában van a könyvtáraknak a művelődési, tágabban a kommunikációs folyamat történetében és jövőjében elfoglalt helyével.</w:t>
            </w:r>
          </w:p>
          <w:p w:rsidR="00B20C49" w:rsidRPr="00B20C49" w:rsidRDefault="00B20C49" w:rsidP="00B20C4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Képes az idők folyamán létrejött különféle dokumentumtípusok, valamint az egyes történeti korszakokban kialakult könyvtípusok történeti helyének értelmezésére, jövőbeni szerepének megértésére.</w:t>
            </w:r>
          </w:p>
          <w:p w:rsidR="00B20C49" w:rsidRPr="00B20C49" w:rsidRDefault="00B20C49" w:rsidP="00B20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Képes az információ- és dokumentumáramlás nemzetközi és hazai összefüggéseinek mérlegelésére, a múlt, a jelen és a jövő egységének idevonatkozó értelmezésére.</w:t>
            </w:r>
          </w:p>
          <w:p w:rsidR="00B20C49" w:rsidRPr="00B20C49" w:rsidRDefault="00B20C49" w:rsidP="00B20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B20C49" w:rsidRPr="00B20C49" w:rsidRDefault="00B20C49" w:rsidP="00B20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Tanult ismeretei birtokában történeti személettel közeledik az írásbeliség és a </w:t>
            </w:r>
            <w:proofErr w:type="gramStart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könyvtárak</w:t>
            </w:r>
            <w:proofErr w:type="gramEnd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 xml:space="preserve"> mint több ötezer éves fejlődésének folyamatához, és ilyen személettel végzi a gyűjteményszervezés és az információközvetítés feladatait; különös megbecsülést érez (és közvetít) az információáramlás szabadsága, az emberi és nemzeti kultúra humanista vonásai iránt.</w:t>
            </w:r>
          </w:p>
          <w:p w:rsidR="00B20C49" w:rsidRPr="00B20C49" w:rsidRDefault="00B20C49" w:rsidP="00B20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Munkájában a könyvtárak múltja, a jeles könyvtárosok hajdani és közelmúltbeli tevékenysége annak tudatát erősíti, hogy fontos értelmiségi feladatot lát el, és hozzájárul önbecsülése növeléséhez, identitástudatának erősítéséhez. </w:t>
            </w:r>
          </w:p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Felismeri a kézírásos, a nyomtatott és az elektronikus dokumentumok megőrzésre érdemes értékeit, különös tekintettel a magyarországi és a határon túli magyar nemzeti kultúra értékeire.</w:t>
            </w:r>
          </w:p>
          <w:p w:rsidR="00B20C49" w:rsidRPr="00B20C49" w:rsidRDefault="00B20C49" w:rsidP="00B20C49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Felelősséggel viseltetik az egyetemes és a nemzeti kulturális örökség írásos emlékeinek megmentése iránt, törekszik azok digitális átörökítésére.</w:t>
            </w:r>
          </w:p>
        </w:tc>
      </w:tr>
      <w:tr w:rsidR="00B20C49" w:rsidRPr="00B20C49" w:rsidTr="00D043F2">
        <w:trPr>
          <w:trHeight w:val="296"/>
        </w:trPr>
        <w:tc>
          <w:tcPr>
            <w:tcW w:w="89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tabs>
                <w:tab w:val="left" w:pos="317"/>
              </w:tabs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B20C49" w:rsidRPr="00B20C49" w:rsidTr="00D043F2">
        <w:trPr>
          <w:trHeight w:val="338"/>
        </w:trPr>
        <w:tc>
          <w:tcPr>
            <w:tcW w:w="89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felelőse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: Dr. Tóth Erzsébet, adjunktus, PhD</w:t>
            </w:r>
          </w:p>
        </w:tc>
      </w:tr>
      <w:tr w:rsidR="00B20C49" w:rsidRPr="00B20C49" w:rsidTr="00D043F2">
        <w:trPr>
          <w:trHeight w:val="337"/>
        </w:trPr>
        <w:tc>
          <w:tcPr>
            <w:tcW w:w="89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B20C49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B20C49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B20C49" w:rsidRPr="00B20C49" w:rsidTr="00D043F2">
        <w:trPr>
          <w:trHeight w:val="337"/>
        </w:trPr>
        <w:tc>
          <w:tcPr>
            <w:tcW w:w="89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20C49" w:rsidRPr="00B20C49" w:rsidRDefault="00B20C49" w:rsidP="00B20C49">
            <w:pPr>
              <w:suppressAutoHyphens/>
              <w:spacing w:before="60"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INBKM0314-17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B20C49">
              <w:rPr>
                <w:rFonts w:ascii="Times New Roman" w:eastAsia="Times New Roman" w:hAnsi="Times New Roman" w:cs="Times New Roman"/>
                <w:b/>
                <w:lang w:eastAsia="hu-HU"/>
              </w:rPr>
              <w:t>Művelődéstörténet könyvtári vonatkozásai 1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7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félévi munka, az írásbeli házi feladat megbeszélése.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könyvtárak a művelődés és az információáramlás rendszerében. A könyvtártörténet tárgya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Az írás előzményei, megjelenése, jelentősége és fajtái. Az ún. ókori Kelet írásai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Az ókori betűírások; a latin írás az ókorban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Az ún. ókori Kelet könyvtárai. Az ókori görög könyvtárak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hellenizmus korának könyvtárai. A római birodalom könyvtárai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középkori írások, a cirill és a latin írás fejlődése a középkorban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kéziratos könyv (a kódex). A kéziratos könyv a középkori Magyarországon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A bizánci és iszlám könyvtárak a középkorban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CC1429" w:rsidP="00B20C49">
            <w:pPr>
              <w:rPr>
                <w:rFonts w:ascii="Times New Roman" w:hAnsi="Times New Roman" w:cs="Times New Roman"/>
              </w:rPr>
            </w:pPr>
            <w:r w:rsidRPr="00CC1429">
              <w:rPr>
                <w:rFonts w:ascii="Times New Roman" w:hAnsi="Times New Roman" w:cs="Times New Roman"/>
              </w:rPr>
              <w:t>A nyugat-európai könyvtárügy a középkorban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CC1429" w:rsidP="00B20C49">
            <w:pPr>
              <w:rPr>
                <w:rFonts w:ascii="Times New Roman" w:hAnsi="Times New Roman" w:cs="Times New Roman"/>
              </w:rPr>
            </w:pPr>
            <w:r w:rsidRPr="00CC1429">
              <w:rPr>
                <w:rFonts w:ascii="Times New Roman" w:hAnsi="Times New Roman" w:cs="Times New Roman"/>
              </w:rPr>
              <w:t>A reneszánsz könyvtárak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CC1429" w:rsidP="00B20C49">
            <w:pPr>
              <w:rPr>
                <w:rFonts w:ascii="Times New Roman" w:hAnsi="Times New Roman" w:cs="Times New Roman"/>
              </w:rPr>
            </w:pPr>
            <w:r w:rsidRPr="00CC1429">
              <w:rPr>
                <w:rFonts w:ascii="Times New Roman" w:hAnsi="Times New Roman" w:cs="Times New Roman"/>
              </w:rPr>
              <w:t>A középkori Magyarország könyvtárai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CC1429" w:rsidP="00B20C49">
            <w:pPr>
              <w:rPr>
                <w:rFonts w:ascii="Times New Roman" w:hAnsi="Times New Roman" w:cs="Times New Roman"/>
              </w:rPr>
            </w:pPr>
            <w:r w:rsidRPr="00CC1429">
              <w:rPr>
                <w:rFonts w:ascii="Times New Roman" w:hAnsi="Times New Roman" w:cs="Times New Roman"/>
              </w:rPr>
              <w:t>A humanista könyvtárak Magyarországon.</w:t>
            </w:r>
          </w:p>
        </w:tc>
      </w:tr>
      <w:tr w:rsidR="00B20C49" w:rsidRPr="00B20C49" w:rsidTr="00D0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C49" w:rsidRPr="00B20C49" w:rsidRDefault="00B20C49" w:rsidP="00B20C49">
            <w:pPr>
              <w:rPr>
                <w:rFonts w:ascii="Times New Roman" w:hAnsi="Times New Roman" w:cs="Times New Roman"/>
              </w:rPr>
            </w:pPr>
            <w:r w:rsidRPr="00B20C49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20C49" w:rsidRPr="00B20C49" w:rsidRDefault="00CC1429" w:rsidP="00B20C49">
            <w:pPr>
              <w:rPr>
                <w:rFonts w:ascii="Times New Roman" w:hAnsi="Times New Roman" w:cs="Times New Roman"/>
              </w:rPr>
            </w:pPr>
            <w:proofErr w:type="spellStart"/>
            <w:r w:rsidRPr="00CC1429">
              <w:rPr>
                <w:rFonts w:ascii="Times New Roman" w:hAnsi="Times New Roman" w:cs="Times New Roman"/>
              </w:rPr>
              <w:t>Bibliotheca</w:t>
            </w:r>
            <w:proofErr w:type="spellEnd"/>
            <w:r w:rsidRPr="00CC1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1429">
              <w:rPr>
                <w:rFonts w:ascii="Times New Roman" w:hAnsi="Times New Roman" w:cs="Times New Roman"/>
              </w:rPr>
              <w:t>Corviniana</w:t>
            </w:r>
            <w:proofErr w:type="spellEnd"/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2282F"/>
    <w:multiLevelType w:val="hybridMultilevel"/>
    <w:tmpl w:val="9524F3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49"/>
    <w:rsid w:val="0000375D"/>
    <w:rsid w:val="00365C36"/>
    <w:rsid w:val="00B20C49"/>
    <w:rsid w:val="00CC1429"/>
    <w:rsid w:val="00D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B164C-279E-4493-8958-BB1DE5A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4</cp:revision>
  <dcterms:created xsi:type="dcterms:W3CDTF">2017-06-20T10:24:00Z</dcterms:created>
  <dcterms:modified xsi:type="dcterms:W3CDTF">2017-06-20T12:26:00Z</dcterms:modified>
</cp:coreProperties>
</file>