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6026"/>
        <w:gridCol w:w="2176"/>
      </w:tblGrid>
      <w:tr w:rsidR="00AC32A7" w:rsidRPr="00403737" w:rsidTr="00D37961">
        <w:trPr>
          <w:gridAfter w:val="1"/>
          <w:wAfter w:w="2176" w:type="dxa"/>
        </w:trPr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</w:t>
            </w:r>
            <w:r w:rsidRPr="00403737">
              <w:rPr>
                <w:sz w:val="22"/>
                <w:szCs w:val="22"/>
              </w:rPr>
              <w:t>neve: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73E70">
              <w:rPr>
                <w:b/>
                <w:sz w:val="22"/>
                <w:szCs w:val="22"/>
              </w:rPr>
              <w:t>Adatbáziskezelés</w:t>
            </w:r>
            <w:proofErr w:type="spellEnd"/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403737">
              <w:rPr>
                <w:sz w:val="22"/>
                <w:szCs w:val="22"/>
              </w:rPr>
              <w:t xml:space="preserve">: </w:t>
            </w:r>
            <w:r w:rsidRPr="00273E70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60/4</w:t>
            </w:r>
            <w:r w:rsidRPr="00AB011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elm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403737">
              <w:rPr>
                <w:sz w:val="22"/>
                <w:szCs w:val="22"/>
              </w:rPr>
              <w:t xml:space="preserve">: </w:t>
            </w:r>
            <w:proofErr w:type="spellStart"/>
            <w:r w:rsidRPr="00E16B04">
              <w:rPr>
                <w:b/>
                <w:sz w:val="22"/>
                <w:szCs w:val="22"/>
              </w:rPr>
              <w:t>ea</w:t>
            </w:r>
            <w:proofErr w:type="spellEnd"/>
            <w:r w:rsidRPr="00E16B04">
              <w:rPr>
                <w:b/>
                <w:sz w:val="22"/>
                <w:szCs w:val="22"/>
              </w:rPr>
              <w:t>/</w:t>
            </w:r>
            <w:proofErr w:type="spellStart"/>
            <w:r w:rsidRPr="00E16B04">
              <w:rPr>
                <w:b/>
                <w:sz w:val="22"/>
                <w:szCs w:val="22"/>
              </w:rPr>
              <w:t>gyak</w:t>
            </w:r>
            <w:proofErr w:type="spellEnd"/>
            <w:r w:rsidRPr="00273E70">
              <w:rPr>
                <w:sz w:val="22"/>
                <w:szCs w:val="22"/>
              </w:rPr>
              <w:t xml:space="preserve">. </w:t>
            </w:r>
            <w:r w:rsidRPr="00403737">
              <w:rPr>
                <w:sz w:val="22"/>
                <w:szCs w:val="22"/>
              </w:rPr>
              <w:t xml:space="preserve">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28/</w:t>
            </w:r>
            <w:proofErr w:type="spellStart"/>
            <w:r>
              <w:rPr>
                <w:b/>
                <w:sz w:val="22"/>
                <w:szCs w:val="22"/>
              </w:rPr>
              <w:t>28</w:t>
            </w:r>
            <w:proofErr w:type="spellEnd"/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AC32A7" w:rsidRPr="00403737" w:rsidRDefault="00AC32A7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-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Pr="00E16B04">
              <w:rPr>
                <w:b/>
                <w:sz w:val="22"/>
                <w:szCs w:val="22"/>
              </w:rPr>
              <w:t>koll</w:t>
            </w:r>
            <w:proofErr w:type="spellEnd"/>
            <w:r w:rsidRPr="00E16B04">
              <w:rPr>
                <w:b/>
                <w:sz w:val="22"/>
                <w:szCs w:val="22"/>
              </w:rPr>
              <w:t>.</w:t>
            </w:r>
          </w:p>
          <w:p w:rsidR="00AC32A7" w:rsidRPr="00403737" w:rsidRDefault="00AC32A7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- 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 (hányadik félév): </w:t>
            </w:r>
            <w:r w:rsidRPr="00E8737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AC32A7" w:rsidRPr="00347A63" w:rsidTr="00D37961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C32A7" w:rsidRPr="00347A63" w:rsidRDefault="00AC32A7" w:rsidP="00C013F3">
            <w:pPr>
              <w:suppressAutoHyphens/>
              <w:ind w:left="34"/>
            </w:pPr>
            <w:r w:rsidRPr="00347A63">
              <w:t xml:space="preserve">A tantárgy oktatásának alapvető célja az </w:t>
            </w:r>
            <w:proofErr w:type="spellStart"/>
            <w:r w:rsidRPr="00347A63">
              <w:t>adatbáziskezelési</w:t>
            </w:r>
            <w:proofErr w:type="spellEnd"/>
            <w:r w:rsidRPr="00347A63">
              <w:t xml:space="preserve"> szemlélet kialakítása, és a relációs adatbázis-kezelés elméleti és gyakorlati alapjainak megismertetése. Megismerteti a hallgatókkal az objektumorientált </w:t>
            </w:r>
            <w:proofErr w:type="spellStart"/>
            <w:r w:rsidRPr="00347A63">
              <w:t>adatbázisszemlélet</w:t>
            </w:r>
            <w:proofErr w:type="spellEnd"/>
            <w:r w:rsidRPr="00347A63">
              <w:t xml:space="preserve"> alapfogalmait, legfontosabb tulajdonságait, a tervezéshez használható eszközrendszert. Megismerteti a hallgatókat az információs rendszerek tervezésének módszertanainak alapjaival. A gyakorlatokon a cél egy lekérdező </w:t>
            </w:r>
            <w:proofErr w:type="gramStart"/>
            <w:r>
              <w:t xml:space="preserve">nyelv </w:t>
            </w:r>
            <w:r w:rsidRPr="00347A63">
              <w:t>gyakorlati</w:t>
            </w:r>
            <w:proofErr w:type="gramEnd"/>
            <w:r w:rsidRPr="00347A63">
              <w:t xml:space="preserve"> alkalmazásának a megismertetése.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32A7" w:rsidRPr="00403737" w:rsidRDefault="00AC32A7" w:rsidP="00C013F3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AC32A7" w:rsidRPr="000D7361" w:rsidTr="00D37961"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AC32A7" w:rsidRPr="000D7361" w:rsidRDefault="00AC32A7" w:rsidP="00AC32A7">
            <w:pPr>
              <w:numPr>
                <w:ilvl w:val="0"/>
                <w:numId w:val="2"/>
              </w:numPr>
              <w:suppressAutoHyphens/>
            </w:pPr>
            <w:proofErr w:type="spellStart"/>
            <w:r w:rsidRPr="000D7361">
              <w:t>Jeffrey</w:t>
            </w:r>
            <w:proofErr w:type="spellEnd"/>
            <w:r w:rsidRPr="000D7361">
              <w:t xml:space="preserve"> D. </w:t>
            </w:r>
            <w:proofErr w:type="spellStart"/>
            <w:r w:rsidRPr="000D7361">
              <w:t>Ullman</w:t>
            </w:r>
            <w:proofErr w:type="spellEnd"/>
            <w:r w:rsidRPr="000D7361">
              <w:t xml:space="preserve">, </w:t>
            </w:r>
            <w:proofErr w:type="spellStart"/>
            <w:r w:rsidRPr="000D7361">
              <w:t>JenniferWidom</w:t>
            </w:r>
            <w:proofErr w:type="spellEnd"/>
            <w:r w:rsidRPr="000D7361">
              <w:t xml:space="preserve">: Adatbázisrendszerek: Alapvetés. </w:t>
            </w:r>
            <w:proofErr w:type="spellStart"/>
            <w:r w:rsidRPr="000D7361">
              <w:t>Panem</w:t>
            </w:r>
            <w:proofErr w:type="spellEnd"/>
            <w:r w:rsidRPr="000D7361">
              <w:t xml:space="preserve"> Kft., 2009, ISBN: 9789635454815.</w:t>
            </w:r>
          </w:p>
          <w:p w:rsidR="00AC32A7" w:rsidRPr="000D7361" w:rsidRDefault="00AC32A7" w:rsidP="00AC32A7">
            <w:pPr>
              <w:numPr>
                <w:ilvl w:val="0"/>
                <w:numId w:val="2"/>
              </w:numPr>
              <w:suppressAutoHyphens/>
            </w:pPr>
            <w:r w:rsidRPr="000D7361">
              <w:t xml:space="preserve">Balogh Judit, </w:t>
            </w:r>
            <w:proofErr w:type="spellStart"/>
            <w:r w:rsidRPr="000D7361">
              <w:t>Rutkovszky</w:t>
            </w:r>
            <w:proofErr w:type="spellEnd"/>
            <w:r w:rsidRPr="000D7361">
              <w:t xml:space="preserve"> Edéné: SQL példatár. Budapest: CODEX-3V Számítás-technikai Kiadó és Oktató Kft., 1994</w:t>
            </w:r>
            <w:proofErr w:type="gramStart"/>
            <w:r w:rsidRPr="000D7361">
              <w:t>,.</w:t>
            </w:r>
            <w:proofErr w:type="gramEnd"/>
          </w:p>
          <w:p w:rsidR="00AC32A7" w:rsidRPr="000D7361" w:rsidRDefault="00AC32A7" w:rsidP="00AC32A7">
            <w:pPr>
              <w:numPr>
                <w:ilvl w:val="0"/>
                <w:numId w:val="2"/>
              </w:numPr>
              <w:suppressAutoHyphens/>
            </w:pPr>
            <w:r w:rsidRPr="000D7361">
              <w:t xml:space="preserve">Kovács László, </w:t>
            </w:r>
            <w:proofErr w:type="spellStart"/>
            <w:r w:rsidRPr="000D7361">
              <w:t>Pance</w:t>
            </w:r>
            <w:proofErr w:type="spellEnd"/>
            <w:r w:rsidRPr="000D7361">
              <w:t xml:space="preserve"> Miklós: Adatmodellezés és adatkezelési technikák. Digitális tankönyvtár, 2011, ISBN 978-963-19-7278-8.</w:t>
            </w:r>
          </w:p>
          <w:p w:rsidR="00AC32A7" w:rsidRPr="000D7361" w:rsidRDefault="00AC32A7" w:rsidP="00AC32A7">
            <w:pPr>
              <w:numPr>
                <w:ilvl w:val="0"/>
                <w:numId w:val="2"/>
              </w:numPr>
              <w:suppressAutoHyphens/>
            </w:pPr>
            <w:r w:rsidRPr="000D7361">
              <w:t>Komló Csaba: Információs rendszerek tervezésének módszertana.  Digitális Tankönyvtár, 2014, SBN 978 615 5250 93 4</w:t>
            </w:r>
          </w:p>
        </w:tc>
      </w:tr>
      <w:tr w:rsidR="00AC32A7" w:rsidRPr="00403737" w:rsidTr="00D37961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C32A7" w:rsidRPr="00403737" w:rsidRDefault="00AC32A7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AC32A7" w:rsidRPr="00403737" w:rsidTr="00D37961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C32A7" w:rsidRDefault="00AC32A7" w:rsidP="00AC32A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tudása</w:t>
            </w:r>
          </w:p>
          <w:p w:rsidR="00AC32A7" w:rsidRPr="00E50A2D" w:rsidRDefault="00AC32A7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E50A2D">
              <w:rPr>
                <w:sz w:val="22"/>
                <w:szCs w:val="22"/>
              </w:rPr>
              <w:t xml:space="preserve">A hallgató elméleti és gyakorlati ismereteket szerezzen az alábbi témakörökben: </w:t>
            </w:r>
            <w:proofErr w:type="spellStart"/>
            <w:r w:rsidRPr="00E50A2D">
              <w:rPr>
                <w:sz w:val="22"/>
                <w:szCs w:val="22"/>
              </w:rPr>
              <w:t>Adatbáziskezelés</w:t>
            </w:r>
            <w:proofErr w:type="spellEnd"/>
            <w:r w:rsidRPr="00E50A2D">
              <w:rPr>
                <w:sz w:val="22"/>
                <w:szCs w:val="22"/>
              </w:rPr>
              <w:t xml:space="preserve"> alapfogalmai. Relációs és objektumorientált adatbázisok és elemeinek tulajdonságai. Adatdefiníciós, adatmanipuláló és lekérdező nyelv alkalmazása. Információs rendszerek fejlesztési módszertanai.</w:t>
            </w:r>
          </w:p>
          <w:p w:rsidR="00AC32A7" w:rsidRDefault="00AC32A7" w:rsidP="00AC32A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képességei</w:t>
            </w:r>
          </w:p>
          <w:p w:rsidR="00AC32A7" w:rsidRPr="00E50A2D" w:rsidRDefault="00AC32A7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E50A2D">
              <w:rPr>
                <w:sz w:val="22"/>
                <w:szCs w:val="22"/>
              </w:rPr>
              <w:t xml:space="preserve">A kurzus sikeres teljesítése esetén a hallgatók képesek lesznek egyszerűbb adatbázisok megtervezésére és létrehozására, ebben lekérdezések futtatására. Képessé válnak nagyobb </w:t>
            </w:r>
            <w:proofErr w:type="spellStart"/>
            <w:r w:rsidRPr="00E50A2D">
              <w:rPr>
                <w:sz w:val="22"/>
                <w:szCs w:val="22"/>
              </w:rPr>
              <w:t>adatbázistervezéssel</w:t>
            </w:r>
            <w:proofErr w:type="spellEnd"/>
            <w:r w:rsidRPr="00E50A2D">
              <w:rPr>
                <w:sz w:val="22"/>
                <w:szCs w:val="22"/>
              </w:rPr>
              <w:t xml:space="preserve"> foglalkozó munkacsoportokban alkotó közreműködésre. Képesek lesznek adatbázisrendszerek szakszerű használatára, bonyolult lekérdezések futtatására, adatbázisokból információk kinyerésére. Képes tetszőleges </w:t>
            </w:r>
            <w:proofErr w:type="spellStart"/>
            <w:r w:rsidRPr="00E50A2D">
              <w:rPr>
                <w:sz w:val="22"/>
                <w:szCs w:val="22"/>
              </w:rPr>
              <w:t>adatbáziskezelő</w:t>
            </w:r>
            <w:proofErr w:type="spellEnd"/>
            <w:r w:rsidRPr="00E50A2D">
              <w:rPr>
                <w:sz w:val="22"/>
                <w:szCs w:val="22"/>
              </w:rPr>
              <w:t xml:space="preserve"> rendszert alkalmazni, belőlük kívánt információkat kinyerni.</w:t>
            </w:r>
          </w:p>
          <w:p w:rsidR="00AC32A7" w:rsidRDefault="00AC32A7" w:rsidP="00AC32A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attitűdje</w:t>
            </w:r>
          </w:p>
          <w:p w:rsidR="00AC32A7" w:rsidRDefault="00AC32A7" w:rsidP="00C013F3">
            <w:pPr>
              <w:suppressAutoHyphens/>
              <w:rPr>
                <w:sz w:val="22"/>
                <w:szCs w:val="22"/>
              </w:rPr>
            </w:pPr>
            <w:r w:rsidRPr="00E50A2D">
              <w:rPr>
                <w:sz w:val="22"/>
                <w:szCs w:val="22"/>
              </w:rPr>
              <w:t>Nyitott adatbázisrendszerek és alkalmazásaik tervezésével kapcsolatos új ismeretek megszerzésére. Nyitott a gyorsan változó trendekhez való igazodásra, a terület új technológiáinak megismerésére, az új stratégiák elsajátítására és alkalmazására.</w:t>
            </w:r>
          </w:p>
          <w:p w:rsidR="00AC32A7" w:rsidRPr="00E205A1" w:rsidRDefault="00AC32A7" w:rsidP="00C013F3">
            <w:pPr>
              <w:suppressAutoHyphens/>
              <w:rPr>
                <w:b/>
                <w:sz w:val="22"/>
                <w:szCs w:val="22"/>
              </w:rPr>
            </w:pPr>
            <w:r w:rsidRPr="00E205A1">
              <w:rPr>
                <w:b/>
                <w:sz w:val="22"/>
                <w:szCs w:val="22"/>
              </w:rPr>
              <w:t>d) autonómiája és felelőssége</w:t>
            </w:r>
          </w:p>
          <w:p w:rsidR="00AC32A7" w:rsidRPr="00403737" w:rsidRDefault="00AC32A7" w:rsidP="00C013F3">
            <w:pPr>
              <w:suppressAutoHyphens/>
              <w:rPr>
                <w:sz w:val="22"/>
                <w:szCs w:val="22"/>
              </w:rPr>
            </w:pPr>
            <w:r w:rsidRPr="00E205A1">
              <w:rPr>
                <w:sz w:val="22"/>
                <w:szCs w:val="22"/>
              </w:rPr>
              <w:t>Felelősen vesz részt a könyvtári területen is egyre általánosabbá váló csoportmunkában.</w:t>
            </w:r>
          </w:p>
        </w:tc>
      </w:tr>
      <w:tr w:rsidR="00AC32A7" w:rsidRPr="00403737" w:rsidTr="00D37961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Pr="00233474">
              <w:rPr>
                <w:b/>
                <w:sz w:val="22"/>
                <w:szCs w:val="22"/>
              </w:rPr>
              <w:t>Dr. Vágner Anikó</w:t>
            </w:r>
            <w:r>
              <w:rPr>
                <w:b/>
                <w:sz w:val="22"/>
                <w:szCs w:val="22"/>
              </w:rPr>
              <w:t>, adjunktus, PhD</w:t>
            </w:r>
          </w:p>
        </w:tc>
      </w:tr>
      <w:tr w:rsidR="00AC32A7" w:rsidRPr="00403737" w:rsidTr="00D37961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C32A7" w:rsidRPr="00403737" w:rsidRDefault="00AC32A7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lastRenderedPageBreak/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</w:tc>
      </w:tr>
      <w:tr w:rsidR="00AC32A7" w:rsidRPr="006C5347" w:rsidTr="00D37961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C32A7" w:rsidRPr="00AC32A7" w:rsidRDefault="00AC32A7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C32A7">
              <w:rPr>
                <w:b/>
                <w:sz w:val="22"/>
                <w:szCs w:val="22"/>
              </w:rPr>
              <w:t xml:space="preserve">Tanmenet: </w:t>
            </w:r>
            <w:r w:rsidRPr="00AC32A7">
              <w:rPr>
                <w:b/>
                <w:sz w:val="22"/>
                <w:szCs w:val="22"/>
              </w:rPr>
              <w:t xml:space="preserve">INBKM0318-17 </w:t>
            </w:r>
            <w:proofErr w:type="spellStart"/>
            <w:r w:rsidRPr="00273E70">
              <w:rPr>
                <w:b/>
                <w:sz w:val="22"/>
                <w:szCs w:val="22"/>
              </w:rPr>
              <w:t>Adatbáziskezelés</w:t>
            </w:r>
            <w:proofErr w:type="spellEnd"/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Adatbázis-kezelés szükségessége. Ajánlások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Alapfogalmak. Adatmodellezés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 xml:space="preserve">Relációs adatmodell, reláció, séma, attribútum. Adatmodellezési technikák. 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SQL: Lekérdező (</w:t>
            </w:r>
            <w:proofErr w:type="spellStart"/>
            <w:r w:rsidRPr="00D37961">
              <w:rPr>
                <w:color w:val="000000"/>
                <w:sz w:val="22"/>
                <w:szCs w:val="22"/>
              </w:rPr>
              <w:t>Query</w:t>
            </w:r>
            <w:proofErr w:type="spellEnd"/>
            <w:r w:rsidRPr="00D37961">
              <w:rPr>
                <w:color w:val="000000"/>
                <w:sz w:val="22"/>
                <w:szCs w:val="22"/>
              </w:rPr>
              <w:t>) nyelv tulajdonságai és eszközei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SQL: Egyszerű lekérdezések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SQL: Származtatott adatok, függvények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SQL: Összetett lekérdezések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Jogosultságok. SQL: Jogosultságkezelés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 xml:space="preserve">Funkcionális függőségek, normalizálás, normálformák. 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 xml:space="preserve">Az egyed-kapcsolat (ER) modell, tervezés ER diagramok segítségével. 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 xml:space="preserve">SQL: </w:t>
            </w:r>
            <w:proofErr w:type="spellStart"/>
            <w:r w:rsidRPr="00D37961">
              <w:rPr>
                <w:color w:val="000000"/>
                <w:sz w:val="22"/>
                <w:szCs w:val="22"/>
              </w:rPr>
              <w:t>Adadefiníciós</w:t>
            </w:r>
            <w:proofErr w:type="spellEnd"/>
            <w:r w:rsidRPr="00D37961">
              <w:rPr>
                <w:color w:val="000000"/>
                <w:sz w:val="22"/>
                <w:szCs w:val="22"/>
              </w:rPr>
              <w:t xml:space="preserve"> (</w:t>
            </w:r>
            <w:bookmarkStart w:id="0" w:name="_GoBack"/>
            <w:bookmarkEnd w:id="0"/>
            <w:r w:rsidRPr="00D37961">
              <w:rPr>
                <w:color w:val="000000"/>
                <w:sz w:val="22"/>
                <w:szCs w:val="22"/>
              </w:rPr>
              <w:t xml:space="preserve">DDL), </w:t>
            </w:r>
            <w:proofErr w:type="spellStart"/>
            <w:r w:rsidRPr="00D37961">
              <w:rPr>
                <w:color w:val="000000"/>
                <w:sz w:val="22"/>
                <w:szCs w:val="22"/>
              </w:rPr>
              <w:t>adatmanipilációs</w:t>
            </w:r>
            <w:proofErr w:type="spellEnd"/>
            <w:r w:rsidRPr="00D37961">
              <w:rPr>
                <w:color w:val="000000"/>
                <w:sz w:val="22"/>
                <w:szCs w:val="22"/>
              </w:rPr>
              <w:t xml:space="preserve"> (DML) nyelv tulajdonságai és eszközei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Objektumorientált modellezés alapfogalmai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Objektumorientált rendszerek tervezésének eszközei</w:t>
            </w:r>
          </w:p>
        </w:tc>
      </w:tr>
      <w:tr w:rsidR="00D37961" w:rsidRPr="00D37961" w:rsidTr="00D3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sz w:val="22"/>
                <w:szCs w:val="22"/>
              </w:rPr>
            </w:pPr>
            <w:r w:rsidRPr="00D37961">
              <w:rPr>
                <w:sz w:val="22"/>
                <w:szCs w:val="22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7961" w:rsidRPr="00D37961" w:rsidRDefault="00D37961">
            <w:pPr>
              <w:rPr>
                <w:color w:val="000000"/>
                <w:sz w:val="22"/>
                <w:szCs w:val="22"/>
              </w:rPr>
            </w:pPr>
            <w:r w:rsidRPr="00D37961">
              <w:rPr>
                <w:color w:val="000000"/>
                <w:sz w:val="22"/>
                <w:szCs w:val="22"/>
              </w:rPr>
              <w:t>Információs rendszerek tervezési és fejlesztési módszertanai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B5E1C"/>
    <w:multiLevelType w:val="hybridMultilevel"/>
    <w:tmpl w:val="5AA26CB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225D02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7"/>
    <w:rsid w:val="0000375D"/>
    <w:rsid w:val="00AC32A7"/>
    <w:rsid w:val="00D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7421-0BCC-4637-A901-6ABFBC7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2017-06-20T12:51:00Z</dcterms:created>
  <dcterms:modified xsi:type="dcterms:W3CDTF">2017-06-20T12:54:00Z</dcterms:modified>
</cp:coreProperties>
</file>