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958"/>
        <w:gridCol w:w="2244"/>
      </w:tblGrid>
      <w:tr w:rsidR="00A23DE2" w:rsidRPr="00A23DE2" w:rsidTr="00353F24">
        <w:tc>
          <w:tcPr>
            <w:tcW w:w="6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Digitális gyűjtemények kezelése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Kreditértéke: 5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kötelezően választható 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40/60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ea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/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23DE2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: esetismertetések a mindennapi könyvtári gyakorlatból és csapatmunka 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</w:p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A23DE2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A számonkérés gyakorlati jegy formájában történik. Ez egyrészt az elméleti ismeretekből írt zárthelyi dolgozat eredményéből, másrészt pedig konkrét, digitalizáláshoz kapcsolódó feladat megoldásából áll össze.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4.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A23DE2" w:rsidRPr="00A23DE2" w:rsidTr="00353F24">
        <w:trPr>
          <w:trHeight w:val="280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digitális könyvtár meghatározása. Az UNESCO és az Európai Unió programjai. Nemzetközi kezdeményezések digitális gyűjtemények létrehozására. Külföldi országok digitális könyvtárai és projektjei. Magyarországi kezdeményezések. Digitális raktárak, intézményi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repozitóriumok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Magyar könyvtárak elektronikus gyűjteményei. Online folyóirat adatbázisok. Digitalizálás és a szerzői jogok. Digitális gyűjtemények létrehozása: a digitalizálás technikai folyamata, Online publikálás (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metaadatok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és keretprogramok).</w:t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23DE2" w:rsidRPr="00A23DE2" w:rsidRDefault="00A23DE2" w:rsidP="00A23DE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A23DE2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A23DE2" w:rsidRPr="00A23DE2" w:rsidTr="00353F24">
        <w:trPr>
          <w:trHeight w:val="1769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A23DE2" w:rsidRPr="00A23DE2" w:rsidRDefault="00A23DE2" w:rsidP="00A23D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Virágos Márta,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Koltay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Klára,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Köpösdi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Zsuzsa: Digitális gyűjtemények, intézményi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repozitóriumok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Debrecen, Debreceni Egyetem, 2013. http://www.tankonyvtar.hu/hu/tartalom/tamop412A/2011-0103_11_digitalis_gyujtemenyek/adatok.html</w:t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A23DE2" w:rsidRPr="00A23DE2" w:rsidRDefault="00A23DE2" w:rsidP="00A23D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szerzői </w:t>
            </w:r>
            <w:proofErr w:type="gram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jog gyakorlati</w:t>
            </w:r>
            <w:proofErr w:type="gram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alkalmazása a digitális online környezetben: a Szerzői Jogi Szakértő Testület véleményeinek gyűjteménye : 2004-2009 / [szerk. Ficsor Mihály, Kiss Zoltán]. Budapest,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Complex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 2010. ISBN: 9789632951560</w:t>
            </w:r>
          </w:p>
          <w:p w:rsidR="00A23DE2" w:rsidRPr="00A23DE2" w:rsidRDefault="00A23DE2" w:rsidP="00A23D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Renkecz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Anita: A képalapú digitalizálás elmélete és gyakorlata a könyvtárakban [elektronikus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.]. Budapest: </w:t>
            </w:r>
            <w:proofErr w:type="gram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 ;</w:t>
            </w:r>
            <w:proofErr w:type="gram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2011. 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Amicus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azonosító: 3416132</w:t>
            </w:r>
          </w:p>
          <w:p w:rsidR="00A23DE2" w:rsidRPr="00A23DE2" w:rsidRDefault="00A23DE2" w:rsidP="00A23D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Magyar Elektronikus Könyvtár. http://www.mek.oszk.hu/</w:t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  <w:p w:rsidR="00A23DE2" w:rsidRPr="00A23DE2" w:rsidRDefault="00A23DE2" w:rsidP="00A23DE2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Europeana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http://www.europeana.eu/portal/en</w:t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ab/>
            </w:r>
          </w:p>
        </w:tc>
      </w:tr>
      <w:tr w:rsidR="00A23DE2" w:rsidRPr="00A23DE2" w:rsidTr="00353F24">
        <w:tc>
          <w:tcPr>
            <w:tcW w:w="906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23DE2" w:rsidRPr="00A23DE2" w:rsidRDefault="00A23DE2" w:rsidP="00A23D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A23DE2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A23D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A23D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A23D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A23D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A23DE2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A23DE2" w:rsidRPr="00A23DE2" w:rsidTr="00353F24">
        <w:trPr>
          <w:trHeight w:val="296"/>
        </w:trPr>
        <w:tc>
          <w:tcPr>
            <w:tcW w:w="90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a) tudása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 xml:space="preserve">Átfogóan ismeri a hazai és európai uniós digitális könyvtári stratégiákat, jogi szabályozásokat, intézményrendszereket, programokat. Áttekintéssel rendelkezik az informatikai és infokommunikációs eszközök, módszerek, technikák alkalmazásának, hasznosításának lehetőségeiről a digitalizálás folyamatában, és a digitalizált dokumentumok hasznosításában. 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b) képességei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A kurzus sikeres elvégzését követően a hallgató képes aktív szerepet vállalni digitalizálási projektek megvalósításában. Képes az elsajátított technikák hatékony és adekvát alkalmazására, és képes csapatban dolgozni. Képes aktív és kezdeményező szerepet vállalni a digitalizálás területén.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c) attitűdje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Tudatos értékközvetítést vállal a szellemi örökség megőrzése és közvetítése terén. Nyitott a könyvtári innováció minden formája iránt, befogadó és egyben kritikus a könyvtári munkát érintő elméleti, gyakorlati és módszertani újításokkal szemben, jelen esetben a digitalizálás területén.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A23DE2" w:rsidRPr="00A23DE2" w:rsidRDefault="00A23DE2" w:rsidP="00A23DE2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Felelősen vesz részt a könyvtári területen is egyre általánosabbá váló csoportmunkában. Erős érdekérvényesítésre képes a projektek, így a digitalizálási projektek sikeres végrehajtása érdekében is.</w:t>
            </w:r>
          </w:p>
        </w:tc>
      </w:tr>
      <w:tr w:rsidR="00A23DE2" w:rsidRPr="00A23DE2" w:rsidTr="00353F24">
        <w:trPr>
          <w:trHeight w:val="338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: Dr. Papp Ildikó, adjunktus, PhD</w:t>
            </w:r>
          </w:p>
        </w:tc>
      </w:tr>
      <w:tr w:rsidR="00A23DE2" w:rsidRPr="00A23DE2" w:rsidTr="00353F24">
        <w:trPr>
          <w:trHeight w:val="337"/>
        </w:trPr>
        <w:tc>
          <w:tcPr>
            <w:tcW w:w="9062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A23DE2" w:rsidRPr="00A23DE2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A23DE2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A23DE2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A23DE2" w:rsidRPr="006C5347" w:rsidTr="00353F24">
        <w:trPr>
          <w:trHeight w:val="33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23DE2" w:rsidRPr="006C5347" w:rsidRDefault="00A23DE2" w:rsidP="00A23DE2">
            <w:pPr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INBKM9932-17 </w:t>
            </w:r>
            <w:r w:rsidRPr="00A23DE2">
              <w:rPr>
                <w:rFonts w:ascii="Times New Roman" w:eastAsia="Times New Roman" w:hAnsi="Times New Roman" w:cs="Times New Roman"/>
                <w:b/>
                <w:lang w:eastAsia="hu-HU"/>
              </w:rPr>
              <w:t>Digitális gyűjtemények kezelése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A digitális könyvtár meghatározása.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Az UNESCO és az Európai Unió programjai.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Nemzetközi kezdeményezések digitális gyűjtemények létrehozására.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Külföldi országok digitális könyvtárai és projektjei.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Magyarországi kezdeményezések.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Digitális raktárak, intézményi </w:t>
            </w:r>
            <w:proofErr w:type="spellStart"/>
            <w:r w:rsidRPr="00353F24">
              <w:rPr>
                <w:rFonts w:ascii="Times New Roman" w:hAnsi="Times New Roman" w:cs="Times New Roman"/>
                <w:color w:val="000000"/>
              </w:rPr>
              <w:t>repozitóriumok</w:t>
            </w:r>
            <w:proofErr w:type="spellEnd"/>
            <w:r w:rsidRPr="00353F24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Magyar könyvtárak elektronikus gyűjteményei.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 xml:space="preserve">Online folyóirat adatbázisok.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353F24">
              <w:rPr>
                <w:rFonts w:ascii="Times New Roman" w:hAnsi="Times New Roman" w:cs="Times New Roman"/>
                <w:color w:val="000000"/>
              </w:rPr>
              <w:t xml:space="preserve">Digitalizálás és a szerzői jogok. 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>Digitális gyűjtemények létrehozása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>Digitális gyűjtemények létrehozása: a digitalizálás technikai folyamata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>Digitális gyűjtemények létrehozása: a digitalizálás technikai folyamata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>Digitális gyűjtemények létrehozása: a digitalizálás technikai folyamata</w:t>
            </w:r>
          </w:p>
        </w:tc>
      </w:tr>
      <w:tr w:rsidR="00353F24" w:rsidRPr="00353F24" w:rsidTr="00353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</w:rPr>
            </w:pPr>
            <w:r w:rsidRPr="00353F24">
              <w:rPr>
                <w:rFonts w:ascii="Times New Roman" w:hAnsi="Times New Roman" w:cs="Times New Roman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53F24" w:rsidRPr="00353F24" w:rsidRDefault="00353F24">
            <w:pPr>
              <w:rPr>
                <w:rFonts w:ascii="Times New Roman" w:hAnsi="Times New Roman" w:cs="Times New Roman"/>
                <w:color w:val="000000"/>
              </w:rPr>
            </w:pPr>
            <w:r w:rsidRPr="00353F24">
              <w:rPr>
                <w:rFonts w:ascii="Times New Roman" w:hAnsi="Times New Roman" w:cs="Times New Roman"/>
                <w:color w:val="000000"/>
              </w:rPr>
              <w:t>Online publikálás (</w:t>
            </w:r>
            <w:proofErr w:type="spellStart"/>
            <w:r w:rsidRPr="00353F24">
              <w:rPr>
                <w:rFonts w:ascii="Times New Roman" w:hAnsi="Times New Roman" w:cs="Times New Roman"/>
                <w:color w:val="000000"/>
              </w:rPr>
              <w:t>metaadatok</w:t>
            </w:r>
            <w:proofErr w:type="spellEnd"/>
            <w:r w:rsidRPr="00353F24">
              <w:rPr>
                <w:rFonts w:ascii="Times New Roman" w:hAnsi="Times New Roman" w:cs="Times New Roman"/>
                <w:color w:val="000000"/>
              </w:rPr>
              <w:t>, és keretprogramok)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E0AE6"/>
    <w:multiLevelType w:val="hybridMultilevel"/>
    <w:tmpl w:val="82743BD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E2"/>
    <w:rsid w:val="0000375D"/>
    <w:rsid w:val="00353F24"/>
    <w:rsid w:val="00A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F7270-B9FF-4262-AFBF-D909099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Borbély Mária</cp:lastModifiedBy>
  <cp:revision>3</cp:revision>
  <dcterms:created xsi:type="dcterms:W3CDTF">2017-06-20T15:10:00Z</dcterms:created>
  <dcterms:modified xsi:type="dcterms:W3CDTF">2017-06-20T15:13:00Z</dcterms:modified>
</cp:coreProperties>
</file>