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5412"/>
        <w:gridCol w:w="1837"/>
      </w:tblGrid>
      <w:tr w:rsidR="00A67873" w:rsidRPr="00403737" w:rsidTr="00A67873">
        <w:trPr>
          <w:jc w:val="center"/>
        </w:trPr>
        <w:tc>
          <w:tcPr>
            <w:tcW w:w="7225" w:type="dxa"/>
            <w:gridSpan w:val="2"/>
            <w:tcBorders>
              <w:top w:val="single" w:sz="4" w:space="0" w:color="auto"/>
              <w:left w:val="single" w:sz="4" w:space="0" w:color="auto"/>
              <w:right w:val="single" w:sz="4" w:space="0" w:color="auto"/>
            </w:tcBorders>
            <w:shd w:val="clear" w:color="auto" w:fill="auto"/>
            <w:tcMar>
              <w:top w:w="57" w:type="dxa"/>
              <w:bottom w:w="57" w:type="dxa"/>
            </w:tcMar>
          </w:tcPr>
          <w:p w:rsidR="00A67873" w:rsidRPr="00A67873" w:rsidRDefault="00A67873" w:rsidP="00C013F3">
            <w:pPr>
              <w:suppressAutoHyphens/>
              <w:jc w:val="both"/>
              <w:rPr>
                <w:rFonts w:ascii="Times New Roman" w:hAnsi="Times New Roman" w:cs="Times New Roman"/>
                <w:b/>
                <w:i/>
              </w:rPr>
            </w:pPr>
            <w:r w:rsidRPr="00A67873">
              <w:rPr>
                <w:rFonts w:ascii="Times New Roman" w:hAnsi="Times New Roman" w:cs="Times New Roman"/>
                <w:b/>
              </w:rPr>
              <w:t xml:space="preserve">Tantárgy </w:t>
            </w:r>
            <w:r w:rsidRPr="00A67873">
              <w:rPr>
                <w:rFonts w:ascii="Times New Roman" w:hAnsi="Times New Roman" w:cs="Times New Roman"/>
              </w:rPr>
              <w:t>neve:</w:t>
            </w:r>
            <w:r w:rsidRPr="00A67873">
              <w:rPr>
                <w:rFonts w:ascii="Times New Roman" w:hAnsi="Times New Roman" w:cs="Times New Roman"/>
                <w:b/>
              </w:rPr>
              <w:t xml:space="preserve"> Olvasáskutatás</w:t>
            </w:r>
            <w:r w:rsidR="005F57F8">
              <w:rPr>
                <w:rFonts w:ascii="Times New Roman" w:hAnsi="Times New Roman" w:cs="Times New Roman"/>
                <w:b/>
              </w:rPr>
              <w:t>i elméletek</w:t>
            </w:r>
          </w:p>
        </w:tc>
        <w:tc>
          <w:tcPr>
            <w:tcW w:w="1837" w:type="dxa"/>
            <w:tcBorders>
              <w:top w:val="single" w:sz="4" w:space="0" w:color="auto"/>
              <w:left w:val="single" w:sz="4" w:space="0" w:color="auto"/>
              <w:right w:val="single" w:sz="4" w:space="0" w:color="auto"/>
            </w:tcBorders>
            <w:shd w:val="clear" w:color="auto" w:fill="auto"/>
            <w:tcMar>
              <w:top w:w="57" w:type="dxa"/>
              <w:bottom w:w="57" w:type="dxa"/>
            </w:tcMar>
          </w:tcPr>
          <w:p w:rsidR="00A67873" w:rsidRPr="00A67873" w:rsidRDefault="00A67873" w:rsidP="00C013F3">
            <w:pPr>
              <w:suppressAutoHyphens/>
              <w:spacing w:before="60"/>
              <w:jc w:val="both"/>
              <w:rPr>
                <w:rFonts w:ascii="Times New Roman" w:hAnsi="Times New Roman" w:cs="Times New Roman"/>
                <w:b/>
              </w:rPr>
            </w:pPr>
          </w:p>
        </w:tc>
      </w:tr>
      <w:tr w:rsidR="00A67873" w:rsidRPr="00A67873" w:rsidTr="00A67873">
        <w:trPr>
          <w:jc w:val="center"/>
        </w:trPr>
        <w:tc>
          <w:tcPr>
            <w:tcW w:w="906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before="60"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A tantárgy </w:t>
            </w:r>
            <w:r w:rsidRPr="00A67873">
              <w:rPr>
                <w:rFonts w:ascii="Times New Roman" w:eastAsia="Times New Roman" w:hAnsi="Times New Roman" w:cs="Times New Roman"/>
                <w:b/>
                <w:lang w:eastAsia="hu-HU"/>
              </w:rPr>
              <w:t>besorolása</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b/>
                <w:lang w:eastAsia="hu-HU"/>
              </w:rPr>
              <w:t xml:space="preserve">kötelező </w:t>
            </w:r>
          </w:p>
        </w:tc>
      </w:tr>
      <w:tr w:rsidR="00A67873" w:rsidRPr="00A67873" w:rsidTr="00A67873">
        <w:trPr>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before="40" w:after="4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b/>
                <w:lang w:eastAsia="hu-HU"/>
              </w:rPr>
              <w:t>A tantárgy elméleti vagy gyakorlati jellegének mértéke, „képzési karaktere”</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b/>
                <w:lang w:eastAsia="hu-HU"/>
              </w:rPr>
              <w:t>30/70</w:t>
            </w:r>
            <w:r w:rsidRPr="00A67873">
              <w:rPr>
                <w:rFonts w:ascii="Times New Roman" w:eastAsia="Times New Roman" w:hAnsi="Times New Roman" w:cs="Times New Roman"/>
                <w:lang w:eastAsia="hu-HU"/>
              </w:rPr>
              <w:t xml:space="preserve"> (</w:t>
            </w:r>
            <w:proofErr w:type="spellStart"/>
            <w:r w:rsidRPr="00A67873">
              <w:rPr>
                <w:rFonts w:ascii="Times New Roman" w:eastAsia="Times New Roman" w:hAnsi="Times New Roman" w:cs="Times New Roman"/>
                <w:lang w:eastAsia="hu-HU"/>
              </w:rPr>
              <w:t>elm</w:t>
            </w:r>
            <w:proofErr w:type="spellEnd"/>
            <w:r w:rsidRPr="00A67873">
              <w:rPr>
                <w:rFonts w:ascii="Times New Roman" w:eastAsia="Times New Roman" w:hAnsi="Times New Roman" w:cs="Times New Roman"/>
                <w:lang w:eastAsia="hu-HU"/>
              </w:rPr>
              <w:t>./</w:t>
            </w:r>
            <w:proofErr w:type="spellStart"/>
            <w:r w:rsidRPr="00A67873">
              <w:rPr>
                <w:rFonts w:ascii="Times New Roman" w:eastAsia="Times New Roman" w:hAnsi="Times New Roman" w:cs="Times New Roman"/>
                <w:lang w:eastAsia="hu-HU"/>
              </w:rPr>
              <w:t>gyak</w:t>
            </w:r>
            <w:proofErr w:type="spellEnd"/>
            <w:r w:rsidRPr="00A67873">
              <w:rPr>
                <w:rFonts w:ascii="Times New Roman" w:eastAsia="Times New Roman" w:hAnsi="Times New Roman" w:cs="Times New Roman"/>
                <w:lang w:eastAsia="hu-HU"/>
              </w:rPr>
              <w:t>.)</w:t>
            </w:r>
          </w:p>
        </w:tc>
      </w:tr>
      <w:tr w:rsidR="00A67873" w:rsidRPr="00A67873" w:rsidTr="00A67873">
        <w:trPr>
          <w:jc w:val="center"/>
        </w:trPr>
        <w:tc>
          <w:tcPr>
            <w:tcW w:w="9062" w:type="dxa"/>
            <w:gridSpan w:val="3"/>
            <w:tcBorders>
              <w:top w:val="single" w:sz="4" w:space="0" w:color="auto"/>
              <w:left w:val="single"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before="60"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A </w:t>
            </w:r>
            <w:r w:rsidRPr="00A67873">
              <w:rPr>
                <w:rFonts w:ascii="Times New Roman" w:eastAsia="Times New Roman" w:hAnsi="Times New Roman" w:cs="Times New Roman"/>
                <w:b/>
                <w:bCs/>
                <w:lang w:eastAsia="hu-HU"/>
              </w:rPr>
              <w:t>tanóra típusa</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b/>
                <w:lang w:eastAsia="hu-HU"/>
              </w:rPr>
              <w:t>szem.</w:t>
            </w:r>
            <w:r w:rsidRPr="00A67873">
              <w:rPr>
                <w:rFonts w:ascii="Times New Roman" w:eastAsia="Times New Roman" w:hAnsi="Times New Roman" w:cs="Times New Roman"/>
                <w:lang w:eastAsia="hu-HU"/>
              </w:rPr>
              <w:t xml:space="preserve"> és </w:t>
            </w:r>
            <w:r w:rsidRPr="00A67873">
              <w:rPr>
                <w:rFonts w:ascii="Times New Roman" w:eastAsia="Times New Roman" w:hAnsi="Times New Roman" w:cs="Times New Roman"/>
                <w:b/>
                <w:bCs/>
                <w:lang w:eastAsia="hu-HU"/>
              </w:rPr>
              <w:t>óraszáma</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b/>
                <w:bCs/>
                <w:lang w:eastAsia="hu-HU"/>
              </w:rPr>
              <w:t xml:space="preserve">56 </w:t>
            </w:r>
            <w:r w:rsidRPr="00A67873">
              <w:rPr>
                <w:rFonts w:ascii="Times New Roman" w:eastAsia="Times New Roman" w:hAnsi="Times New Roman" w:cs="Times New Roman"/>
                <w:lang w:eastAsia="hu-HU"/>
              </w:rPr>
              <w:t xml:space="preserve">az adott </w:t>
            </w:r>
            <w:r w:rsidRPr="00A67873">
              <w:rPr>
                <w:rFonts w:ascii="Times New Roman" w:eastAsia="Times New Roman" w:hAnsi="Times New Roman" w:cs="Times New Roman"/>
                <w:b/>
                <w:bCs/>
                <w:lang w:eastAsia="hu-HU"/>
              </w:rPr>
              <w:t>félévben</w:t>
            </w:r>
            <w:proofErr w:type="gramStart"/>
            <w:r w:rsidRPr="00A67873">
              <w:rPr>
                <w:rFonts w:ascii="Times New Roman" w:eastAsia="Times New Roman" w:hAnsi="Times New Roman" w:cs="Times New Roman"/>
                <w:lang w:eastAsia="hu-HU"/>
              </w:rPr>
              <w:t>,,</w:t>
            </w:r>
            <w:proofErr w:type="gramEnd"/>
          </w:p>
          <w:p w:rsidR="00A67873" w:rsidRPr="00A67873" w:rsidRDefault="00A67873" w:rsidP="00A67873">
            <w:pPr>
              <w:suppressAutoHyphens/>
              <w:spacing w:before="60"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Az adott ismeret átadásában alkalmazandó </w:t>
            </w:r>
            <w:r w:rsidRPr="00A67873">
              <w:rPr>
                <w:rFonts w:ascii="Times New Roman" w:eastAsia="Times New Roman" w:hAnsi="Times New Roman" w:cs="Times New Roman"/>
                <w:b/>
                <w:lang w:eastAsia="hu-HU"/>
              </w:rPr>
              <w:t>további</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i/>
                <w:lang w:eastAsia="hu-HU"/>
              </w:rPr>
              <w:t>sajátos</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b/>
                <w:lang w:eastAsia="hu-HU"/>
              </w:rPr>
              <w:t>módok, jellemzők</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i/>
                <w:sz w:val="21"/>
                <w:szCs w:val="21"/>
                <w:lang w:eastAsia="hu-HU"/>
              </w:rPr>
              <w:t>(ha vannak)</w:t>
            </w:r>
            <w:r w:rsidRPr="00A67873">
              <w:rPr>
                <w:rFonts w:ascii="Times New Roman" w:eastAsia="Times New Roman" w:hAnsi="Times New Roman" w:cs="Times New Roman"/>
                <w:lang w:eastAsia="hu-HU"/>
              </w:rPr>
              <w:t>: esetismertetések a mindennapi könyvtári gyakorlatból</w:t>
            </w:r>
          </w:p>
        </w:tc>
      </w:tr>
      <w:tr w:rsidR="00A67873" w:rsidRPr="00A67873" w:rsidTr="00A67873">
        <w:trPr>
          <w:jc w:val="center"/>
        </w:trPr>
        <w:tc>
          <w:tcPr>
            <w:tcW w:w="9062" w:type="dxa"/>
            <w:gridSpan w:val="3"/>
            <w:tcBorders>
              <w:left w:val="single"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before="60"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A </w:t>
            </w:r>
            <w:r w:rsidRPr="00A67873">
              <w:rPr>
                <w:rFonts w:ascii="Times New Roman" w:eastAsia="Times New Roman" w:hAnsi="Times New Roman" w:cs="Times New Roman"/>
                <w:b/>
                <w:lang w:eastAsia="hu-HU"/>
              </w:rPr>
              <w:t xml:space="preserve">számonkérés </w:t>
            </w:r>
            <w:r w:rsidRPr="00A67873">
              <w:rPr>
                <w:rFonts w:ascii="Times New Roman" w:eastAsia="Times New Roman" w:hAnsi="Times New Roman" w:cs="Times New Roman"/>
                <w:lang w:eastAsia="hu-HU"/>
              </w:rPr>
              <w:t xml:space="preserve">módja: </w:t>
            </w:r>
            <w:r w:rsidR="005F57F8">
              <w:rPr>
                <w:rFonts w:ascii="Times New Roman" w:eastAsia="Times New Roman" w:hAnsi="Times New Roman" w:cs="Times New Roman"/>
                <w:b/>
                <w:lang w:eastAsia="hu-HU"/>
              </w:rPr>
              <w:t>koll.</w:t>
            </w:r>
            <w:bookmarkStart w:id="0" w:name="_GoBack"/>
            <w:bookmarkEnd w:id="0"/>
            <w:r w:rsidRPr="00A67873">
              <w:rPr>
                <w:rFonts w:ascii="Times New Roman" w:eastAsia="Times New Roman" w:hAnsi="Times New Roman" w:cs="Times New Roman"/>
                <w:lang w:eastAsia="hu-HU"/>
              </w:rPr>
              <w:t xml:space="preserve"> </w:t>
            </w:r>
          </w:p>
          <w:p w:rsidR="00A67873" w:rsidRPr="00A67873" w:rsidRDefault="00A67873" w:rsidP="00A67873">
            <w:pPr>
              <w:suppressAutoHyphens/>
              <w:spacing w:before="60" w:after="0" w:line="240" w:lineRule="auto"/>
              <w:jc w:val="both"/>
              <w:rPr>
                <w:rFonts w:ascii="Times New Roman" w:eastAsia="Times New Roman" w:hAnsi="Times New Roman" w:cs="Times New Roman"/>
                <w:b/>
                <w:lang w:eastAsia="hu-HU"/>
              </w:rPr>
            </w:pPr>
            <w:r w:rsidRPr="00A67873">
              <w:rPr>
                <w:rFonts w:ascii="Times New Roman" w:eastAsia="Times New Roman" w:hAnsi="Times New Roman" w:cs="Times New Roman"/>
                <w:lang w:eastAsia="hu-HU"/>
              </w:rPr>
              <w:t xml:space="preserve">Az ismeretellenőrzésben alkalmazandó </w:t>
            </w:r>
            <w:r w:rsidRPr="00A67873">
              <w:rPr>
                <w:rFonts w:ascii="Times New Roman" w:eastAsia="Times New Roman" w:hAnsi="Times New Roman" w:cs="Times New Roman"/>
                <w:b/>
                <w:lang w:eastAsia="hu-HU"/>
              </w:rPr>
              <w:t xml:space="preserve">további </w:t>
            </w:r>
            <w:r w:rsidRPr="00A67873">
              <w:rPr>
                <w:rFonts w:ascii="Times New Roman" w:eastAsia="Times New Roman" w:hAnsi="Times New Roman" w:cs="Times New Roman"/>
                <w:lang w:eastAsia="hu-HU"/>
              </w:rPr>
              <w:t>(</w:t>
            </w:r>
            <w:r w:rsidRPr="00A67873">
              <w:rPr>
                <w:rFonts w:ascii="Times New Roman" w:eastAsia="Times New Roman" w:hAnsi="Times New Roman" w:cs="Times New Roman"/>
                <w:i/>
                <w:lang w:eastAsia="hu-HU"/>
              </w:rPr>
              <w:t>sajátos</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b/>
                <w:lang w:eastAsia="hu-HU"/>
              </w:rPr>
              <w:t xml:space="preserve">módok </w:t>
            </w:r>
            <w:r w:rsidRPr="00A67873">
              <w:rPr>
                <w:rFonts w:ascii="Times New Roman" w:eastAsia="Times New Roman" w:hAnsi="Times New Roman" w:cs="Times New Roman"/>
                <w:i/>
                <w:sz w:val="21"/>
                <w:szCs w:val="21"/>
                <w:lang w:eastAsia="hu-HU"/>
              </w:rPr>
              <w:t>(ha vannak)</w:t>
            </w:r>
            <w:r w:rsidRPr="00A67873">
              <w:rPr>
                <w:rFonts w:ascii="Times New Roman" w:eastAsia="Times New Roman" w:hAnsi="Times New Roman" w:cs="Times New Roman"/>
                <w:b/>
                <w:lang w:eastAsia="hu-HU"/>
              </w:rPr>
              <w:t>: dolgozat bekérése</w:t>
            </w:r>
          </w:p>
        </w:tc>
      </w:tr>
      <w:tr w:rsidR="00A67873" w:rsidRPr="00A67873" w:rsidTr="00A67873">
        <w:trPr>
          <w:jc w:val="center"/>
        </w:trPr>
        <w:tc>
          <w:tcPr>
            <w:tcW w:w="906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A tantárgy </w:t>
            </w:r>
            <w:r w:rsidRPr="00A67873">
              <w:rPr>
                <w:rFonts w:ascii="Times New Roman" w:eastAsia="Times New Roman" w:hAnsi="Times New Roman" w:cs="Times New Roman"/>
                <w:b/>
                <w:lang w:eastAsia="hu-HU"/>
              </w:rPr>
              <w:t>tantervi helye</w:t>
            </w:r>
            <w:r w:rsidRPr="00A67873">
              <w:rPr>
                <w:rFonts w:ascii="Times New Roman" w:eastAsia="Times New Roman" w:hAnsi="Times New Roman" w:cs="Times New Roman"/>
                <w:lang w:eastAsia="hu-HU"/>
              </w:rPr>
              <w:t xml:space="preserve"> (hányadik félév): </w:t>
            </w:r>
            <w:r w:rsidRPr="00A67873">
              <w:rPr>
                <w:rFonts w:ascii="Times New Roman" w:eastAsia="Times New Roman" w:hAnsi="Times New Roman" w:cs="Times New Roman"/>
                <w:b/>
                <w:lang w:eastAsia="hu-HU"/>
              </w:rPr>
              <w:t>3.</w:t>
            </w:r>
          </w:p>
        </w:tc>
      </w:tr>
      <w:tr w:rsidR="00A67873" w:rsidRPr="00A67873" w:rsidTr="00A67873">
        <w:trPr>
          <w:jc w:val="center"/>
        </w:trPr>
        <w:tc>
          <w:tcPr>
            <w:tcW w:w="906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Előtanulmányi feltételek </w:t>
            </w:r>
            <w:r w:rsidRPr="00A67873">
              <w:rPr>
                <w:rFonts w:ascii="Times New Roman" w:eastAsia="Times New Roman" w:hAnsi="Times New Roman" w:cs="Times New Roman"/>
                <w:i/>
                <w:lang w:eastAsia="hu-HU"/>
              </w:rPr>
              <w:t>(ha vannak)</w:t>
            </w:r>
            <w:r w:rsidRPr="00A67873">
              <w:rPr>
                <w:rFonts w:ascii="Times New Roman" w:eastAsia="Times New Roman" w:hAnsi="Times New Roman" w:cs="Times New Roman"/>
                <w:lang w:eastAsia="hu-HU"/>
              </w:rPr>
              <w:t>:</w:t>
            </w:r>
            <w:r w:rsidRPr="00A67873">
              <w:rPr>
                <w:rFonts w:ascii="Times New Roman" w:eastAsia="Times New Roman" w:hAnsi="Times New Roman" w:cs="Times New Roman"/>
                <w:i/>
                <w:lang w:eastAsia="hu-HU"/>
              </w:rPr>
              <w:t xml:space="preserve"> -</w:t>
            </w:r>
          </w:p>
        </w:tc>
      </w:tr>
      <w:tr w:rsidR="00A67873" w:rsidRPr="00A67873" w:rsidTr="00A67873">
        <w:trPr>
          <w:jc w:val="center"/>
        </w:trPr>
        <w:tc>
          <w:tcPr>
            <w:tcW w:w="9062" w:type="dxa"/>
            <w:gridSpan w:val="3"/>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before="60" w:after="0" w:line="240" w:lineRule="auto"/>
              <w:jc w:val="both"/>
              <w:rPr>
                <w:rFonts w:ascii="Times New Roman" w:eastAsia="Times New Roman" w:hAnsi="Times New Roman" w:cs="Times New Roman"/>
                <w:b/>
                <w:lang w:eastAsia="hu-HU"/>
              </w:rPr>
            </w:pPr>
            <w:r w:rsidRPr="00A67873">
              <w:rPr>
                <w:rFonts w:ascii="Times New Roman" w:eastAsia="Times New Roman" w:hAnsi="Times New Roman" w:cs="Times New Roman"/>
                <w:b/>
                <w:lang w:eastAsia="hu-HU"/>
              </w:rPr>
              <w:t>Tantárgy-leírás</w:t>
            </w:r>
            <w:r w:rsidRPr="00A67873">
              <w:rPr>
                <w:rFonts w:ascii="Times New Roman" w:eastAsia="Times New Roman" w:hAnsi="Times New Roman" w:cs="Times New Roman"/>
                <w:lang w:eastAsia="hu-HU"/>
              </w:rPr>
              <w:t xml:space="preserve">: az elsajátítandó </w:t>
            </w:r>
            <w:r w:rsidRPr="00A67873">
              <w:rPr>
                <w:rFonts w:ascii="Times New Roman" w:eastAsia="Times New Roman" w:hAnsi="Times New Roman" w:cs="Times New Roman"/>
                <w:b/>
                <w:lang w:eastAsia="hu-HU"/>
              </w:rPr>
              <w:t>ismeretanyag tömör, ugyanakkor informáló leírása</w:t>
            </w:r>
          </w:p>
        </w:tc>
      </w:tr>
      <w:tr w:rsidR="00A67873" w:rsidRPr="00A67873" w:rsidTr="00A67873">
        <w:trPr>
          <w:trHeight w:val="280"/>
          <w:jc w:val="center"/>
        </w:trPr>
        <w:tc>
          <w:tcPr>
            <w:tcW w:w="9062" w:type="dxa"/>
            <w:gridSpan w:val="3"/>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A67873" w:rsidRPr="00A67873" w:rsidRDefault="00A67873" w:rsidP="00A67873">
            <w:pPr>
              <w:spacing w:after="0" w:line="240" w:lineRule="auto"/>
              <w:jc w:val="both"/>
              <w:rPr>
                <w:rFonts w:ascii="Times New Roman" w:eastAsia="Times New Roman" w:hAnsi="Times New Roman" w:cs="Times New Roman"/>
                <w:sz w:val="20"/>
                <w:szCs w:val="20"/>
                <w:lang w:eastAsia="hu-HU"/>
              </w:rPr>
            </w:pPr>
            <w:r w:rsidRPr="00A67873">
              <w:rPr>
                <w:rFonts w:ascii="Times New Roman" w:eastAsia="Times New Roman" w:hAnsi="Times New Roman" w:cs="Times New Roman"/>
                <w:sz w:val="20"/>
                <w:szCs w:val="20"/>
                <w:lang w:eastAsia="hu-HU"/>
              </w:rPr>
              <w:t xml:space="preserve">Az olvasáskutatás területeinek alapfogalmai. Az olvasás filozófiája, </w:t>
            </w:r>
            <w:proofErr w:type="spellStart"/>
            <w:r w:rsidRPr="00A67873">
              <w:rPr>
                <w:rFonts w:ascii="Times New Roman" w:eastAsia="Times New Roman" w:hAnsi="Times New Roman" w:cs="Times New Roman"/>
                <w:sz w:val="20"/>
                <w:szCs w:val="20"/>
                <w:lang w:eastAsia="hu-HU"/>
              </w:rPr>
              <w:t>befogadáselméletek</w:t>
            </w:r>
            <w:proofErr w:type="spellEnd"/>
            <w:r w:rsidRPr="00A67873">
              <w:rPr>
                <w:rFonts w:ascii="Times New Roman" w:eastAsia="Times New Roman" w:hAnsi="Times New Roman" w:cs="Times New Roman"/>
                <w:sz w:val="20"/>
                <w:szCs w:val="20"/>
                <w:lang w:eastAsia="hu-HU"/>
              </w:rPr>
              <w:t xml:space="preserve">. Az olvasáspszichológia, fiziológiai és kognitív jellemzők. A </w:t>
            </w:r>
            <w:proofErr w:type="spellStart"/>
            <w:r w:rsidRPr="00A67873">
              <w:rPr>
                <w:rFonts w:ascii="Times New Roman" w:eastAsia="Times New Roman" w:hAnsi="Times New Roman" w:cs="Times New Roman"/>
                <w:sz w:val="20"/>
                <w:szCs w:val="20"/>
                <w:lang w:eastAsia="hu-HU"/>
              </w:rPr>
              <w:t>biblioterápia</w:t>
            </w:r>
            <w:proofErr w:type="spellEnd"/>
            <w:r w:rsidRPr="00A67873">
              <w:rPr>
                <w:rFonts w:ascii="Times New Roman" w:eastAsia="Times New Roman" w:hAnsi="Times New Roman" w:cs="Times New Roman"/>
                <w:sz w:val="20"/>
                <w:szCs w:val="20"/>
                <w:lang w:eastAsia="hu-HU"/>
              </w:rPr>
              <w:t xml:space="preserve"> elmélete és gyakorlata. Az olvasásszociológia nemzetközi és hazai története, olvasásszociológiai műhelyek. Szociológiai módszertan, olvasásszociológiai adatgyűjtési technikák, </w:t>
            </w:r>
            <w:proofErr w:type="spellStart"/>
            <w:r w:rsidRPr="00A67873">
              <w:rPr>
                <w:rFonts w:ascii="Times New Roman" w:eastAsia="Times New Roman" w:hAnsi="Times New Roman" w:cs="Times New Roman"/>
                <w:sz w:val="20"/>
                <w:szCs w:val="20"/>
                <w:lang w:eastAsia="hu-HU"/>
              </w:rPr>
              <w:t>operacionalizálás</w:t>
            </w:r>
            <w:proofErr w:type="spellEnd"/>
            <w:r w:rsidRPr="00A67873">
              <w:rPr>
                <w:rFonts w:ascii="Times New Roman" w:eastAsia="Times New Roman" w:hAnsi="Times New Roman" w:cs="Times New Roman"/>
                <w:sz w:val="20"/>
                <w:szCs w:val="20"/>
                <w:lang w:eastAsia="hu-HU"/>
              </w:rPr>
              <w:t xml:space="preserve">, adatelemzések. Mérési szintek, táblázatok készítése és elemzése, egyszerű statisztikai mutatók. Nemzetközi és hazai olvasásszociológiai kutatások. Olvasásértési vizsgálatok és eredményeik. A </w:t>
            </w:r>
            <w:proofErr w:type="spellStart"/>
            <w:r w:rsidRPr="00A67873">
              <w:rPr>
                <w:rFonts w:ascii="Times New Roman" w:eastAsia="Times New Roman" w:hAnsi="Times New Roman" w:cs="Times New Roman"/>
                <w:sz w:val="20"/>
                <w:szCs w:val="20"/>
                <w:lang w:eastAsia="hu-HU"/>
              </w:rPr>
              <w:t>könyvtárpedagógia</w:t>
            </w:r>
            <w:proofErr w:type="spellEnd"/>
            <w:r w:rsidRPr="00A67873">
              <w:rPr>
                <w:rFonts w:ascii="Times New Roman" w:eastAsia="Times New Roman" w:hAnsi="Times New Roman" w:cs="Times New Roman"/>
                <w:sz w:val="20"/>
                <w:szCs w:val="20"/>
                <w:lang w:eastAsia="hu-HU"/>
              </w:rPr>
              <w:t xml:space="preserve"> elmélete és gyakorlata. A </w:t>
            </w:r>
            <w:proofErr w:type="spellStart"/>
            <w:r w:rsidRPr="00A67873">
              <w:rPr>
                <w:rFonts w:ascii="Times New Roman" w:eastAsia="Times New Roman" w:hAnsi="Times New Roman" w:cs="Times New Roman"/>
                <w:sz w:val="20"/>
                <w:szCs w:val="20"/>
                <w:lang w:eastAsia="hu-HU"/>
              </w:rPr>
              <w:t>könyvtárpedagógia</w:t>
            </w:r>
            <w:proofErr w:type="spellEnd"/>
            <w:r w:rsidRPr="00A67873">
              <w:rPr>
                <w:rFonts w:ascii="Times New Roman" w:eastAsia="Times New Roman" w:hAnsi="Times New Roman" w:cs="Times New Roman"/>
                <w:sz w:val="20"/>
                <w:szCs w:val="20"/>
                <w:lang w:eastAsia="hu-HU"/>
              </w:rPr>
              <w:t xml:space="preserve"> mint tudomány, kapcsolata más tudományokkal. Digitális olvasás, az írásbeliség átalakuló tendenciái, digitális kompetenciák az olvasáskutatásban.</w:t>
            </w:r>
          </w:p>
        </w:tc>
      </w:tr>
      <w:tr w:rsidR="00A67873" w:rsidRPr="00A67873" w:rsidTr="00A67873">
        <w:trPr>
          <w:jc w:val="center"/>
        </w:trPr>
        <w:tc>
          <w:tcPr>
            <w:tcW w:w="9062"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rsidR="00A67873" w:rsidRPr="00A67873" w:rsidRDefault="00A67873" w:rsidP="00A67873">
            <w:pPr>
              <w:suppressAutoHyphens/>
              <w:spacing w:after="0" w:line="240" w:lineRule="auto"/>
              <w:ind w:right="-108"/>
              <w:rPr>
                <w:rFonts w:ascii="Times New Roman" w:eastAsia="Times New Roman" w:hAnsi="Times New Roman" w:cs="Times New Roman"/>
                <w:b/>
                <w:lang w:eastAsia="hu-HU"/>
              </w:rPr>
            </w:pPr>
            <w:r w:rsidRPr="00A67873">
              <w:rPr>
                <w:rFonts w:ascii="Times New Roman" w:eastAsia="Times New Roman" w:hAnsi="Times New Roman" w:cs="Times New Roman"/>
                <w:lang w:eastAsia="hu-HU"/>
              </w:rPr>
              <w:t xml:space="preserve">A </w:t>
            </w:r>
            <w:r w:rsidRPr="00A67873">
              <w:rPr>
                <w:rFonts w:ascii="Times New Roman" w:eastAsia="Times New Roman" w:hAnsi="Times New Roman" w:cs="Times New Roman"/>
                <w:b/>
                <w:lang w:eastAsia="hu-HU"/>
              </w:rPr>
              <w:t>2-5</w:t>
            </w:r>
            <w:r w:rsidRPr="00A67873">
              <w:rPr>
                <w:rFonts w:ascii="Times New Roman" w:eastAsia="Times New Roman" w:hAnsi="Times New Roman" w:cs="Times New Roman"/>
                <w:lang w:eastAsia="hu-HU"/>
              </w:rPr>
              <w:t xml:space="preserve"> legfontosabb </w:t>
            </w:r>
            <w:r w:rsidRPr="00A67873">
              <w:rPr>
                <w:rFonts w:ascii="Times New Roman" w:eastAsia="Times New Roman" w:hAnsi="Times New Roman" w:cs="Times New Roman"/>
                <w:i/>
                <w:lang w:eastAsia="hu-HU"/>
              </w:rPr>
              <w:t>kötelező,</w:t>
            </w:r>
            <w:r w:rsidRPr="00A67873">
              <w:rPr>
                <w:rFonts w:ascii="Times New Roman" w:eastAsia="Times New Roman" w:hAnsi="Times New Roman" w:cs="Times New Roman"/>
                <w:lang w:eastAsia="hu-HU"/>
              </w:rPr>
              <w:t xml:space="preserve"> illetve </w:t>
            </w:r>
            <w:r w:rsidRPr="00A67873">
              <w:rPr>
                <w:rFonts w:ascii="Times New Roman" w:eastAsia="Times New Roman" w:hAnsi="Times New Roman" w:cs="Times New Roman"/>
                <w:i/>
                <w:lang w:eastAsia="hu-HU"/>
              </w:rPr>
              <w:t>ajánlott</w:t>
            </w:r>
            <w:r w:rsidRPr="00A67873">
              <w:rPr>
                <w:rFonts w:ascii="Times New Roman" w:eastAsia="Times New Roman" w:hAnsi="Times New Roman" w:cs="Times New Roman"/>
                <w:b/>
                <w:i/>
                <w:lang w:eastAsia="hu-HU"/>
              </w:rPr>
              <w:t xml:space="preserve"> </w:t>
            </w:r>
            <w:r w:rsidRPr="00A67873">
              <w:rPr>
                <w:rFonts w:ascii="Times New Roman" w:eastAsia="Times New Roman" w:hAnsi="Times New Roman" w:cs="Times New Roman"/>
                <w:b/>
                <w:lang w:eastAsia="hu-HU"/>
              </w:rPr>
              <w:t xml:space="preserve">irodalom </w:t>
            </w:r>
            <w:r w:rsidRPr="00A67873">
              <w:rPr>
                <w:rFonts w:ascii="Times New Roman" w:eastAsia="Times New Roman" w:hAnsi="Times New Roman" w:cs="Times New Roman"/>
                <w:lang w:eastAsia="hu-HU"/>
              </w:rPr>
              <w:t>(jegyzet, tankönyv) felsorolása bibliográfiai adatokkal (szerző, cím, kiadás adatai, (esetleg oldalak), ISBN)</w:t>
            </w:r>
          </w:p>
        </w:tc>
      </w:tr>
      <w:tr w:rsidR="00A67873" w:rsidRPr="00A67873" w:rsidTr="00A67873">
        <w:trPr>
          <w:trHeight w:val="1769"/>
          <w:jc w:val="center"/>
        </w:trPr>
        <w:tc>
          <w:tcPr>
            <w:tcW w:w="9062" w:type="dxa"/>
            <w:gridSpan w:val="3"/>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A67873" w:rsidRDefault="00A67873" w:rsidP="00A67873">
            <w:pPr>
              <w:numPr>
                <w:ilvl w:val="0"/>
                <w:numId w:val="2"/>
              </w:numPr>
              <w:suppressAutoHyphens/>
              <w:spacing w:after="0" w:line="240" w:lineRule="auto"/>
              <w:rPr>
                <w:rFonts w:ascii="Times New Roman" w:eastAsia="Times New Roman" w:hAnsi="Times New Roman" w:cs="Times New Roman"/>
                <w:sz w:val="20"/>
                <w:szCs w:val="20"/>
                <w:lang w:eastAsia="hu-HU"/>
              </w:rPr>
            </w:pPr>
            <w:proofErr w:type="spellStart"/>
            <w:r w:rsidRPr="00A67873">
              <w:rPr>
                <w:rFonts w:ascii="Times New Roman" w:eastAsia="Times New Roman" w:hAnsi="Times New Roman" w:cs="Times New Roman"/>
                <w:sz w:val="20"/>
                <w:szCs w:val="20"/>
                <w:lang w:eastAsia="hu-HU"/>
              </w:rPr>
              <w:t>Andorka</w:t>
            </w:r>
            <w:proofErr w:type="spellEnd"/>
            <w:r w:rsidRPr="00A67873">
              <w:rPr>
                <w:rFonts w:ascii="Times New Roman" w:eastAsia="Times New Roman" w:hAnsi="Times New Roman" w:cs="Times New Roman"/>
                <w:sz w:val="20"/>
                <w:szCs w:val="20"/>
                <w:lang w:eastAsia="hu-HU"/>
              </w:rPr>
              <w:t xml:space="preserve"> Rudolf: Bevezetés a szociológiába. Http://www.tankönyvtár</w:t>
            </w:r>
            <w:proofErr w:type="gramStart"/>
            <w:r w:rsidRPr="00A67873">
              <w:rPr>
                <w:rFonts w:ascii="Times New Roman" w:eastAsia="Times New Roman" w:hAnsi="Times New Roman" w:cs="Times New Roman"/>
                <w:sz w:val="20"/>
                <w:szCs w:val="20"/>
                <w:lang w:eastAsia="hu-HU"/>
              </w:rPr>
              <w:t>.hu</w:t>
            </w:r>
            <w:proofErr w:type="gramEnd"/>
          </w:p>
          <w:p w:rsidR="00A67873" w:rsidRPr="00A67873" w:rsidRDefault="00A67873" w:rsidP="00A67873">
            <w:pPr>
              <w:numPr>
                <w:ilvl w:val="0"/>
                <w:numId w:val="2"/>
              </w:numPr>
              <w:suppressAutoHyphens/>
              <w:spacing w:after="0" w:line="240" w:lineRule="auto"/>
              <w:rPr>
                <w:rFonts w:ascii="Times New Roman" w:eastAsia="Times New Roman" w:hAnsi="Times New Roman" w:cs="Times New Roman"/>
                <w:sz w:val="20"/>
                <w:szCs w:val="20"/>
                <w:lang w:eastAsia="hu-HU"/>
              </w:rPr>
            </w:pPr>
            <w:proofErr w:type="spellStart"/>
            <w:r w:rsidRPr="00A67873">
              <w:rPr>
                <w:rFonts w:ascii="Times New Roman" w:eastAsia="Times New Roman" w:hAnsi="Times New Roman" w:cs="Times New Roman"/>
                <w:sz w:val="20"/>
                <w:szCs w:val="20"/>
                <w:lang w:eastAsia="hu-HU"/>
              </w:rPr>
              <w:t>Bettelheim</w:t>
            </w:r>
            <w:proofErr w:type="spellEnd"/>
            <w:r w:rsidRPr="00A67873">
              <w:rPr>
                <w:rFonts w:ascii="Times New Roman" w:eastAsia="Times New Roman" w:hAnsi="Times New Roman" w:cs="Times New Roman"/>
                <w:sz w:val="20"/>
                <w:szCs w:val="20"/>
                <w:lang w:eastAsia="hu-HU"/>
              </w:rPr>
              <w:t>, Bruno: A mese bűvölete és a bontakozó gyermeki lélek. Budapest: Corvina, 2008. ISBN: 9631357271</w:t>
            </w:r>
          </w:p>
          <w:p w:rsidR="00A67873" w:rsidRPr="00A67873" w:rsidRDefault="00A67873" w:rsidP="00A67873">
            <w:pPr>
              <w:numPr>
                <w:ilvl w:val="0"/>
                <w:numId w:val="2"/>
              </w:numPr>
              <w:suppressAutoHyphens/>
              <w:spacing w:after="0" w:line="240" w:lineRule="auto"/>
              <w:rPr>
                <w:rFonts w:ascii="Times New Roman" w:eastAsia="Times New Roman" w:hAnsi="Times New Roman" w:cs="Times New Roman"/>
                <w:sz w:val="20"/>
                <w:szCs w:val="20"/>
                <w:lang w:eastAsia="hu-HU"/>
              </w:rPr>
            </w:pPr>
            <w:r w:rsidRPr="00A67873">
              <w:rPr>
                <w:rFonts w:ascii="Times New Roman" w:eastAsia="Times New Roman" w:hAnsi="Times New Roman" w:cs="Times New Roman"/>
                <w:sz w:val="20"/>
                <w:szCs w:val="20"/>
                <w:lang w:eastAsia="hu-HU"/>
              </w:rPr>
              <w:t>Csépe Valéria: Az olvasó agy. Budapest: Akadémia, 2014. ISBN: 9630583364</w:t>
            </w:r>
          </w:p>
          <w:p w:rsidR="00A67873" w:rsidRPr="00A67873" w:rsidRDefault="00A67873" w:rsidP="00A67873">
            <w:pPr>
              <w:numPr>
                <w:ilvl w:val="0"/>
                <w:numId w:val="2"/>
              </w:numPr>
              <w:suppressAutoHyphens/>
              <w:spacing w:after="0" w:line="240" w:lineRule="auto"/>
              <w:rPr>
                <w:rFonts w:ascii="Times New Roman" w:eastAsia="Times New Roman" w:hAnsi="Times New Roman" w:cs="Times New Roman"/>
                <w:sz w:val="20"/>
                <w:szCs w:val="20"/>
                <w:lang w:eastAsia="hu-HU"/>
              </w:rPr>
            </w:pPr>
            <w:r w:rsidRPr="00A67873">
              <w:rPr>
                <w:rFonts w:ascii="Times New Roman" w:eastAsia="Times New Roman" w:hAnsi="Times New Roman" w:cs="Times New Roman"/>
                <w:sz w:val="20"/>
                <w:szCs w:val="20"/>
                <w:lang w:eastAsia="hu-HU"/>
              </w:rPr>
              <w:t>Gereben Ferenc, Nagy Attila: Olvasás és társadalom: olvasásszociológia, olvasáslélektan, olvasáspedagógia: szöveggyűjtemény. Budapest: OSZK KMK, 2002. ISBN: 9632013204</w:t>
            </w:r>
          </w:p>
          <w:p w:rsidR="00A67873" w:rsidRPr="00A67873" w:rsidRDefault="00A67873" w:rsidP="00A67873">
            <w:pPr>
              <w:numPr>
                <w:ilvl w:val="0"/>
                <w:numId w:val="2"/>
              </w:numPr>
              <w:suppressAutoHyphens/>
              <w:spacing w:after="0" w:line="240" w:lineRule="auto"/>
              <w:rPr>
                <w:rFonts w:ascii="Times New Roman" w:eastAsia="Times New Roman" w:hAnsi="Times New Roman" w:cs="Times New Roman"/>
                <w:sz w:val="20"/>
                <w:szCs w:val="20"/>
                <w:lang w:eastAsia="hu-HU"/>
              </w:rPr>
            </w:pPr>
            <w:proofErr w:type="spellStart"/>
            <w:r w:rsidRPr="00A67873">
              <w:rPr>
                <w:rFonts w:ascii="Times New Roman" w:eastAsia="Times New Roman" w:hAnsi="Times New Roman" w:cs="Times New Roman"/>
                <w:sz w:val="20"/>
                <w:szCs w:val="20"/>
                <w:lang w:eastAsia="hu-HU"/>
              </w:rPr>
              <w:t>Handbook</w:t>
            </w:r>
            <w:proofErr w:type="spellEnd"/>
            <w:r w:rsidRPr="00A67873">
              <w:rPr>
                <w:rFonts w:ascii="Times New Roman" w:eastAsia="Times New Roman" w:hAnsi="Times New Roman" w:cs="Times New Roman"/>
                <w:sz w:val="20"/>
                <w:szCs w:val="20"/>
                <w:lang w:eastAsia="hu-HU"/>
              </w:rPr>
              <w:t xml:space="preserve"> of </w:t>
            </w:r>
            <w:proofErr w:type="spellStart"/>
            <w:r w:rsidRPr="00A67873">
              <w:rPr>
                <w:rFonts w:ascii="Times New Roman" w:eastAsia="Times New Roman" w:hAnsi="Times New Roman" w:cs="Times New Roman"/>
                <w:sz w:val="20"/>
                <w:szCs w:val="20"/>
                <w:lang w:eastAsia="hu-HU"/>
              </w:rPr>
              <w:t>reading</w:t>
            </w:r>
            <w:proofErr w:type="spellEnd"/>
            <w:r w:rsidRPr="00A67873">
              <w:rPr>
                <w:rFonts w:ascii="Times New Roman" w:eastAsia="Times New Roman" w:hAnsi="Times New Roman" w:cs="Times New Roman"/>
                <w:sz w:val="20"/>
                <w:szCs w:val="20"/>
                <w:lang w:eastAsia="hu-HU"/>
              </w:rPr>
              <w:t xml:space="preserve"> </w:t>
            </w:r>
            <w:proofErr w:type="spellStart"/>
            <w:r w:rsidRPr="00A67873">
              <w:rPr>
                <w:rFonts w:ascii="Times New Roman" w:eastAsia="Times New Roman" w:hAnsi="Times New Roman" w:cs="Times New Roman"/>
                <w:sz w:val="20"/>
                <w:szCs w:val="20"/>
                <w:lang w:eastAsia="hu-HU"/>
              </w:rPr>
              <w:t>research</w:t>
            </w:r>
            <w:proofErr w:type="spellEnd"/>
            <w:r w:rsidRPr="00A67873">
              <w:rPr>
                <w:rFonts w:ascii="Times New Roman" w:eastAsia="Times New Roman" w:hAnsi="Times New Roman" w:cs="Times New Roman"/>
                <w:sz w:val="20"/>
                <w:szCs w:val="20"/>
                <w:lang w:eastAsia="hu-HU"/>
              </w:rPr>
              <w:t xml:space="preserve"> I-IV. New York: </w:t>
            </w:r>
            <w:proofErr w:type="spellStart"/>
            <w:r w:rsidRPr="00A67873">
              <w:rPr>
                <w:rFonts w:ascii="Times New Roman" w:eastAsia="Times New Roman" w:hAnsi="Times New Roman" w:cs="Times New Roman"/>
                <w:sz w:val="20"/>
                <w:szCs w:val="20"/>
                <w:lang w:eastAsia="hu-HU"/>
              </w:rPr>
              <w:t>Routledge</w:t>
            </w:r>
            <w:proofErr w:type="spellEnd"/>
            <w:r w:rsidRPr="00A67873">
              <w:rPr>
                <w:rFonts w:ascii="Times New Roman" w:eastAsia="Times New Roman" w:hAnsi="Times New Roman" w:cs="Times New Roman"/>
                <w:sz w:val="20"/>
                <w:szCs w:val="20"/>
                <w:lang w:eastAsia="hu-HU"/>
              </w:rPr>
              <w:t>, 2011. ISBN: 0805841504</w:t>
            </w:r>
          </w:p>
          <w:p w:rsidR="00A67873" w:rsidRPr="00A67873" w:rsidRDefault="00A67873" w:rsidP="00A67873">
            <w:pPr>
              <w:numPr>
                <w:ilvl w:val="0"/>
                <w:numId w:val="2"/>
              </w:numPr>
              <w:suppressAutoHyphens/>
              <w:spacing w:after="0" w:line="240" w:lineRule="auto"/>
              <w:rPr>
                <w:rFonts w:ascii="Times New Roman" w:eastAsia="Times New Roman" w:hAnsi="Times New Roman" w:cs="Times New Roman"/>
                <w:sz w:val="20"/>
                <w:szCs w:val="20"/>
                <w:lang w:eastAsia="hu-HU"/>
              </w:rPr>
            </w:pPr>
            <w:r w:rsidRPr="00A67873">
              <w:rPr>
                <w:rFonts w:ascii="Times New Roman" w:eastAsia="Times New Roman" w:hAnsi="Times New Roman" w:cs="Times New Roman"/>
                <w:sz w:val="20"/>
                <w:szCs w:val="20"/>
                <w:lang w:eastAsia="hu-HU"/>
              </w:rPr>
              <w:t>Az olvasás védelmében: olvasáskutatási tanulmányok [szerk. Szávai Ilona]. Budapest: Pont, 2010. ISBN: 9789639957114</w:t>
            </w:r>
          </w:p>
        </w:tc>
      </w:tr>
      <w:tr w:rsidR="00A67873" w:rsidRPr="00A67873" w:rsidTr="00A67873">
        <w:trPr>
          <w:jc w:val="center"/>
        </w:trPr>
        <w:tc>
          <w:tcPr>
            <w:tcW w:w="9062"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rsidR="00A67873" w:rsidRPr="00A67873" w:rsidRDefault="00A67873" w:rsidP="00A67873">
            <w:pPr>
              <w:suppressAutoHyphens/>
              <w:spacing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Azoknak az </w:t>
            </w:r>
            <w:r w:rsidRPr="00A67873">
              <w:rPr>
                <w:rFonts w:ascii="Times New Roman" w:eastAsia="Times New Roman" w:hAnsi="Times New Roman" w:cs="Times New Roman"/>
                <w:b/>
                <w:lang w:eastAsia="hu-HU"/>
              </w:rPr>
              <w:t>előírt</w:t>
            </w:r>
            <w:r w:rsidRPr="00A67873">
              <w:rPr>
                <w:rFonts w:ascii="Times New Roman" w:eastAsia="Times New Roman" w:hAnsi="Times New Roman" w:cs="Times New Roman"/>
                <w:lang w:eastAsia="hu-HU"/>
              </w:rPr>
              <w:t xml:space="preserve"> s</w:t>
            </w:r>
            <w:r w:rsidRPr="00A67873">
              <w:rPr>
                <w:rFonts w:ascii="Times New Roman" w:eastAsia="Times New Roman" w:hAnsi="Times New Roman" w:cs="Times New Roman"/>
                <w:b/>
                <w:lang w:eastAsia="hu-HU"/>
              </w:rPr>
              <w:t>zakmai kompetenciáknak, kompetencia-elemeknek</w:t>
            </w:r>
            <w:r w:rsidRPr="00A67873">
              <w:rPr>
                <w:rFonts w:ascii="Times New Roman" w:eastAsia="Times New Roman" w:hAnsi="Times New Roman" w:cs="Times New Roman"/>
                <w:sz w:val="21"/>
                <w:szCs w:val="21"/>
                <w:lang w:eastAsia="hu-HU"/>
              </w:rPr>
              <w:t xml:space="preserve"> </w:t>
            </w:r>
            <w:r w:rsidRPr="00A67873">
              <w:rPr>
                <w:rFonts w:ascii="Times New Roman" w:eastAsia="Times New Roman" w:hAnsi="Times New Roman" w:cs="Times New Roman"/>
                <w:i/>
                <w:sz w:val="20"/>
                <w:szCs w:val="20"/>
                <w:lang w:eastAsia="hu-HU"/>
              </w:rPr>
              <w:t>(tudás, képesség</w:t>
            </w:r>
            <w:r w:rsidRPr="00A67873">
              <w:rPr>
                <w:rFonts w:ascii="Times New Roman" w:eastAsia="Times New Roman" w:hAnsi="Times New Roman" w:cs="Times New Roman"/>
                <w:sz w:val="20"/>
                <w:szCs w:val="20"/>
                <w:lang w:eastAsia="hu-HU"/>
              </w:rPr>
              <w:t xml:space="preserve"> stb., </w:t>
            </w:r>
            <w:r w:rsidRPr="00A67873">
              <w:rPr>
                <w:rFonts w:ascii="Times New Roman" w:eastAsia="Times New Roman" w:hAnsi="Times New Roman" w:cs="Times New Roman"/>
                <w:i/>
                <w:sz w:val="20"/>
                <w:szCs w:val="20"/>
                <w:lang w:eastAsia="hu-HU"/>
              </w:rPr>
              <w:t xml:space="preserve">KKK </w:t>
            </w:r>
            <w:r w:rsidRPr="00A67873">
              <w:rPr>
                <w:rFonts w:ascii="Times New Roman" w:eastAsia="Times New Roman" w:hAnsi="Times New Roman" w:cs="Times New Roman"/>
                <w:b/>
                <w:i/>
                <w:sz w:val="20"/>
                <w:szCs w:val="20"/>
                <w:lang w:eastAsia="hu-HU"/>
              </w:rPr>
              <w:t>7.</w:t>
            </w:r>
            <w:r w:rsidRPr="00A67873">
              <w:rPr>
                <w:rFonts w:ascii="Times New Roman" w:eastAsia="Times New Roman" w:hAnsi="Times New Roman" w:cs="Times New Roman"/>
                <w:i/>
                <w:sz w:val="20"/>
                <w:szCs w:val="20"/>
                <w:lang w:eastAsia="hu-HU"/>
              </w:rPr>
              <w:t xml:space="preserve"> pont</w:t>
            </w:r>
            <w:r w:rsidRPr="00A67873">
              <w:rPr>
                <w:rFonts w:ascii="Times New Roman" w:eastAsia="Times New Roman" w:hAnsi="Times New Roman" w:cs="Times New Roman"/>
                <w:sz w:val="20"/>
                <w:szCs w:val="20"/>
                <w:lang w:eastAsia="hu-HU"/>
              </w:rPr>
              <w:t xml:space="preserve">) </w:t>
            </w:r>
            <w:r w:rsidRPr="00A67873">
              <w:rPr>
                <w:rFonts w:ascii="Times New Roman" w:eastAsia="Times New Roman" w:hAnsi="Times New Roman" w:cs="Times New Roman"/>
                <w:lang w:eastAsia="hu-HU"/>
              </w:rPr>
              <w:t xml:space="preserve">a felsorolása, </w:t>
            </w:r>
            <w:r w:rsidRPr="00A67873">
              <w:rPr>
                <w:rFonts w:ascii="Times New Roman" w:eastAsia="Times New Roman" w:hAnsi="Times New Roman" w:cs="Times New Roman"/>
                <w:b/>
                <w:lang w:eastAsia="hu-HU"/>
              </w:rPr>
              <w:t>amelyek kialakításához a tantárgy jellemzően, érdemben hozzájárul</w:t>
            </w:r>
          </w:p>
        </w:tc>
      </w:tr>
      <w:tr w:rsidR="00A67873" w:rsidRPr="00A67873" w:rsidTr="00A67873">
        <w:trPr>
          <w:trHeight w:val="296"/>
          <w:jc w:val="center"/>
        </w:trPr>
        <w:tc>
          <w:tcPr>
            <w:tcW w:w="9062" w:type="dxa"/>
            <w:gridSpan w:val="3"/>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A67873" w:rsidRPr="00A67873" w:rsidRDefault="00A67873" w:rsidP="00A67873">
            <w:pPr>
              <w:numPr>
                <w:ilvl w:val="0"/>
                <w:numId w:val="1"/>
              </w:numPr>
              <w:tabs>
                <w:tab w:val="left" w:pos="317"/>
              </w:tabs>
              <w:suppressAutoHyphens/>
              <w:spacing w:after="0" w:line="240" w:lineRule="auto"/>
              <w:rPr>
                <w:rFonts w:ascii="Times New Roman" w:eastAsia="Times New Roman" w:hAnsi="Times New Roman" w:cs="Times New Roman"/>
                <w:b/>
                <w:lang w:eastAsia="hu-HU"/>
              </w:rPr>
            </w:pPr>
            <w:r w:rsidRPr="00A67873">
              <w:rPr>
                <w:rFonts w:ascii="Times New Roman" w:eastAsia="Times New Roman" w:hAnsi="Times New Roman" w:cs="Times New Roman"/>
                <w:b/>
                <w:lang w:eastAsia="hu-HU"/>
              </w:rPr>
              <w:t>tudása</w:t>
            </w:r>
          </w:p>
          <w:p w:rsidR="00A67873" w:rsidRPr="00A67873" w:rsidRDefault="00A67873" w:rsidP="00A67873">
            <w:pPr>
              <w:tabs>
                <w:tab w:val="left" w:pos="317"/>
              </w:tabs>
              <w:suppressAutoHyphens/>
              <w:spacing w:after="0" w:line="240" w:lineRule="auto"/>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A hallgató ismeri a hazai és nemzetközi olvasáskutatások eredményeit, azok meghatározó társadalmi, strukturális, gazdasági, politikai és technológiai folyamatainak legfontosabb tényezőit.</w:t>
            </w:r>
          </w:p>
          <w:p w:rsidR="00A67873" w:rsidRPr="00A67873" w:rsidRDefault="00A67873" w:rsidP="00A67873">
            <w:pPr>
              <w:numPr>
                <w:ilvl w:val="0"/>
                <w:numId w:val="1"/>
              </w:numPr>
              <w:tabs>
                <w:tab w:val="left" w:pos="317"/>
              </w:tabs>
              <w:suppressAutoHyphens/>
              <w:spacing w:after="0" w:line="240" w:lineRule="auto"/>
              <w:rPr>
                <w:rFonts w:ascii="Times New Roman" w:eastAsia="Times New Roman" w:hAnsi="Times New Roman" w:cs="Times New Roman"/>
                <w:b/>
                <w:lang w:eastAsia="hu-HU"/>
              </w:rPr>
            </w:pPr>
            <w:r w:rsidRPr="00A67873">
              <w:rPr>
                <w:rFonts w:ascii="Times New Roman" w:eastAsia="Times New Roman" w:hAnsi="Times New Roman" w:cs="Times New Roman"/>
                <w:b/>
                <w:lang w:eastAsia="hu-HU"/>
              </w:rPr>
              <w:t>képességei</w:t>
            </w:r>
          </w:p>
          <w:p w:rsidR="00A67873" w:rsidRPr="00A67873" w:rsidRDefault="00A67873" w:rsidP="00A67873">
            <w:pPr>
              <w:tabs>
                <w:tab w:val="left" w:pos="317"/>
              </w:tabs>
              <w:suppressAutoHyphens/>
              <w:spacing w:after="0" w:line="240" w:lineRule="auto"/>
              <w:ind w:left="34"/>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A hallgató képes a kurzus során megismert vagy feltárt tények alapos és részletes elemzésére, az eredményekből kibontható összefüggések feltárására, reális értékítéletet alkot és az ezekből levonható következtetésekre építve önálló javaslatokat fogalmaz meg. Magas szinten képes lesz a szövegértelmezésre, a vizuális jelekkel, tipográfiai eszközökkel, ikonokkal tagolt szövegek, táblázatok, adatsorok, vizuális szövegek megértésére.</w:t>
            </w:r>
          </w:p>
          <w:p w:rsidR="00A67873" w:rsidRPr="00A67873" w:rsidRDefault="00A67873" w:rsidP="00A67873">
            <w:pPr>
              <w:numPr>
                <w:ilvl w:val="0"/>
                <w:numId w:val="1"/>
              </w:numPr>
              <w:tabs>
                <w:tab w:val="left" w:pos="317"/>
              </w:tabs>
              <w:suppressAutoHyphens/>
              <w:spacing w:after="0" w:line="240" w:lineRule="auto"/>
              <w:rPr>
                <w:rFonts w:ascii="Times New Roman" w:eastAsia="Times New Roman" w:hAnsi="Times New Roman" w:cs="Times New Roman"/>
                <w:b/>
                <w:lang w:eastAsia="hu-HU"/>
              </w:rPr>
            </w:pPr>
            <w:r w:rsidRPr="00A67873">
              <w:rPr>
                <w:rFonts w:ascii="Times New Roman" w:eastAsia="Times New Roman" w:hAnsi="Times New Roman" w:cs="Times New Roman"/>
                <w:b/>
                <w:lang w:eastAsia="hu-HU"/>
              </w:rPr>
              <w:t>attitűdje</w:t>
            </w:r>
          </w:p>
          <w:p w:rsidR="00A67873" w:rsidRPr="00A67873" w:rsidRDefault="00A67873" w:rsidP="00A67873">
            <w:pPr>
              <w:tabs>
                <w:tab w:val="left" w:pos="317"/>
              </w:tabs>
              <w:suppressAutoHyphens/>
              <w:spacing w:after="0" w:line="240" w:lineRule="auto"/>
              <w:ind w:left="34"/>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Tudatos értékközvetítést vállal a humanizmus, a béke, a haza, a nemzet, a szabadság, a demokrácia, a kulturális pluralizmus, a nemzeti kultúra területén, és harcol az értékek rombolásával szemben. Együttműködési készséggel, empátiával fordul a hátrányos helyzetű társadalmi csoportok felé, és azonosul a könyvtárak szerepvállalásával a társadalmi esélyegyenlőtlenségek mérséklésében. </w:t>
            </w:r>
            <w:r w:rsidRPr="00A67873">
              <w:rPr>
                <w:rFonts w:ascii="Times New Roman" w:eastAsia="Times New Roman" w:hAnsi="Times New Roman" w:cs="Times New Roman"/>
                <w:lang w:eastAsia="hu-HU"/>
              </w:rPr>
              <w:lastRenderedPageBreak/>
              <w:t>Támogatja és tiszteletben tartja a könyvtárhasználók nemzeti, európai, etnikai, vallási, illetve lokális azonosságtudatát, kulturális identitását, annak megőrzését.</w:t>
            </w:r>
          </w:p>
          <w:p w:rsidR="00A67873" w:rsidRPr="00A67873" w:rsidRDefault="00A67873" w:rsidP="00A67873">
            <w:pPr>
              <w:numPr>
                <w:ilvl w:val="0"/>
                <w:numId w:val="1"/>
              </w:numPr>
              <w:tabs>
                <w:tab w:val="left" w:pos="317"/>
              </w:tabs>
              <w:suppressAutoHyphens/>
              <w:spacing w:after="0" w:line="240" w:lineRule="auto"/>
              <w:ind w:left="176" w:hanging="142"/>
              <w:rPr>
                <w:rFonts w:ascii="Times New Roman" w:eastAsia="Times New Roman" w:hAnsi="Times New Roman" w:cs="Times New Roman"/>
                <w:b/>
                <w:lang w:eastAsia="hu-HU"/>
              </w:rPr>
            </w:pPr>
            <w:r w:rsidRPr="00A67873">
              <w:rPr>
                <w:rFonts w:ascii="Times New Roman" w:eastAsia="Times New Roman" w:hAnsi="Times New Roman" w:cs="Times New Roman"/>
                <w:b/>
                <w:lang w:eastAsia="hu-HU"/>
              </w:rPr>
              <w:t>autonómiája és felelőssége</w:t>
            </w:r>
          </w:p>
          <w:p w:rsidR="00A67873" w:rsidRPr="00A67873" w:rsidRDefault="00A67873" w:rsidP="00A67873">
            <w:pPr>
              <w:tabs>
                <w:tab w:val="left" w:pos="317"/>
              </w:tabs>
              <w:suppressAutoHyphens/>
              <w:spacing w:after="0" w:line="240" w:lineRule="auto"/>
              <w:ind w:left="34"/>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Tudatos értékközvetítést vállal a humanizmus, a béke, a haza, a nemzet, a szabadság, a demokrácia, a kulturális pluralizmus, a nemzeti kultúra területén, és harcol az értékek rombolásával szemben. Együttműködési készséggel, empátiával fordul a hátrányos helyzetű társadalmi csoportok felé, és azonosul a könyvtárak szerepvállalásával a társadalmi esélyegyenlőtlenségek mérséklésében. Támogatja és tiszteletben tartja a könyvtárhasználók nemzeti, európai, etnikai, vallási, illetve lokális azonosságtudatát, kulturális identitását, annak megőrzését.</w:t>
            </w:r>
          </w:p>
        </w:tc>
      </w:tr>
      <w:tr w:rsidR="00A67873" w:rsidRPr="00A67873" w:rsidTr="00A67873">
        <w:trPr>
          <w:trHeight w:val="338"/>
          <w:jc w:val="center"/>
        </w:trPr>
        <w:tc>
          <w:tcPr>
            <w:tcW w:w="9062" w:type="dxa"/>
            <w:gridSpan w:val="3"/>
            <w:shd w:val="clear" w:color="auto" w:fill="auto"/>
            <w:tcMar>
              <w:top w:w="57" w:type="dxa"/>
              <w:bottom w:w="57" w:type="dxa"/>
            </w:tcMar>
          </w:tcPr>
          <w:p w:rsidR="00A67873" w:rsidRPr="00A67873" w:rsidRDefault="00A67873" w:rsidP="00A67873">
            <w:pPr>
              <w:suppressAutoHyphens/>
              <w:spacing w:before="60" w:after="0" w:line="240" w:lineRule="auto"/>
              <w:jc w:val="both"/>
              <w:rPr>
                <w:rFonts w:ascii="Times New Roman" w:eastAsia="Times New Roman" w:hAnsi="Times New Roman" w:cs="Times New Roman"/>
                <w:b/>
                <w:lang w:eastAsia="hu-HU"/>
              </w:rPr>
            </w:pPr>
            <w:r w:rsidRPr="00A67873">
              <w:rPr>
                <w:rFonts w:ascii="Times New Roman" w:eastAsia="Times New Roman" w:hAnsi="Times New Roman" w:cs="Times New Roman"/>
                <w:b/>
                <w:lang w:eastAsia="hu-HU"/>
              </w:rPr>
              <w:lastRenderedPageBreak/>
              <w:t xml:space="preserve">Tantárgy felelőse </w:t>
            </w:r>
            <w:r w:rsidRPr="00A67873">
              <w:rPr>
                <w:rFonts w:ascii="Times New Roman" w:eastAsia="Times New Roman" w:hAnsi="Times New Roman" w:cs="Times New Roman"/>
                <w:lang w:eastAsia="hu-HU"/>
              </w:rPr>
              <w:t>(</w:t>
            </w:r>
            <w:r w:rsidRPr="00A67873">
              <w:rPr>
                <w:rFonts w:ascii="Times New Roman" w:eastAsia="Times New Roman" w:hAnsi="Times New Roman" w:cs="Times New Roman"/>
                <w:i/>
                <w:lang w:eastAsia="hu-HU"/>
              </w:rPr>
              <w:t>név, beosztás, tud. fokozat</w:t>
            </w:r>
            <w:r w:rsidRPr="00A67873">
              <w:rPr>
                <w:rFonts w:ascii="Times New Roman" w:eastAsia="Times New Roman" w:hAnsi="Times New Roman" w:cs="Times New Roman"/>
                <w:b/>
                <w:lang w:eastAsia="hu-HU"/>
              </w:rPr>
              <w:t>): Bujdosóné Dr. Dani Erzsébet, adjunktus, PhD</w:t>
            </w:r>
          </w:p>
        </w:tc>
      </w:tr>
      <w:tr w:rsidR="00A67873" w:rsidRPr="008D080F" w:rsidTr="00A67873">
        <w:trPr>
          <w:trHeight w:val="338"/>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67873" w:rsidRPr="008D080F" w:rsidRDefault="00A67873" w:rsidP="00C013F3">
            <w:pPr>
              <w:suppressAutoHyphens/>
              <w:spacing w:before="60" w:after="0" w:line="240" w:lineRule="auto"/>
              <w:jc w:val="both"/>
              <w:rPr>
                <w:rFonts w:ascii="Times New Roman" w:eastAsia="Times New Roman" w:hAnsi="Times New Roman" w:cs="Times New Roman"/>
                <w:b/>
                <w:lang w:eastAsia="hu-HU"/>
              </w:rPr>
            </w:pPr>
            <w:r w:rsidRPr="008D080F">
              <w:rPr>
                <w:rFonts w:ascii="Times New Roman" w:eastAsia="Times New Roman" w:hAnsi="Times New Roman" w:cs="Times New Roman"/>
                <w:b/>
                <w:lang w:eastAsia="hu-HU"/>
              </w:rPr>
              <w:t xml:space="preserve">Tantárgy oktatásába bevont </w:t>
            </w:r>
            <w:proofErr w:type="gramStart"/>
            <w:r w:rsidRPr="008D080F">
              <w:rPr>
                <w:rFonts w:ascii="Times New Roman" w:eastAsia="Times New Roman" w:hAnsi="Times New Roman" w:cs="Times New Roman"/>
                <w:b/>
                <w:lang w:eastAsia="hu-HU"/>
              </w:rPr>
              <w:t>oktató(</w:t>
            </w:r>
            <w:proofErr w:type="gramEnd"/>
            <w:r w:rsidRPr="008D080F">
              <w:rPr>
                <w:rFonts w:ascii="Times New Roman" w:eastAsia="Times New Roman" w:hAnsi="Times New Roman" w:cs="Times New Roman"/>
                <w:b/>
                <w:lang w:eastAsia="hu-HU"/>
              </w:rPr>
              <w:t>k), ha van(</w:t>
            </w:r>
            <w:proofErr w:type="spellStart"/>
            <w:r w:rsidRPr="008D080F">
              <w:rPr>
                <w:rFonts w:ascii="Times New Roman" w:eastAsia="Times New Roman" w:hAnsi="Times New Roman" w:cs="Times New Roman"/>
                <w:b/>
                <w:lang w:eastAsia="hu-HU"/>
              </w:rPr>
              <w:t>nak</w:t>
            </w:r>
            <w:proofErr w:type="spellEnd"/>
            <w:r w:rsidRPr="008D080F">
              <w:rPr>
                <w:rFonts w:ascii="Times New Roman" w:eastAsia="Times New Roman" w:hAnsi="Times New Roman" w:cs="Times New Roman"/>
                <w:b/>
                <w:lang w:eastAsia="hu-HU"/>
              </w:rPr>
              <w:t>) (név, beosztás, tud. fokozat):</w:t>
            </w:r>
          </w:p>
        </w:tc>
      </w:tr>
      <w:tr w:rsidR="00A67873" w:rsidRPr="00A67873" w:rsidTr="00A67873">
        <w:trPr>
          <w:trHeight w:val="337"/>
          <w:jc w:val="center"/>
        </w:trPr>
        <w:tc>
          <w:tcPr>
            <w:tcW w:w="9062" w:type="dxa"/>
            <w:gridSpan w:val="3"/>
            <w:shd w:val="clear" w:color="auto" w:fill="auto"/>
            <w:tcMar>
              <w:top w:w="57" w:type="dxa"/>
              <w:bottom w:w="57" w:type="dxa"/>
            </w:tcMar>
          </w:tcPr>
          <w:p w:rsidR="00A67873" w:rsidRPr="00A67873" w:rsidRDefault="00A67873" w:rsidP="00A67873">
            <w:pPr>
              <w:suppressAutoHyphens/>
              <w:spacing w:before="60" w:after="0" w:line="240" w:lineRule="auto"/>
              <w:jc w:val="both"/>
              <w:rPr>
                <w:rFonts w:ascii="Times New Roman" w:eastAsia="Times New Roman" w:hAnsi="Times New Roman" w:cs="Times New Roman"/>
                <w:b/>
                <w:lang w:eastAsia="hu-HU"/>
              </w:rPr>
            </w:pPr>
            <w:r>
              <w:rPr>
                <w:rFonts w:ascii="Times New Roman" w:eastAsia="Times New Roman" w:hAnsi="Times New Roman" w:cs="Times New Roman"/>
                <w:b/>
                <w:lang w:eastAsia="hu-HU"/>
              </w:rPr>
              <w:t xml:space="preserve">Tanmenet: </w:t>
            </w:r>
            <w:r w:rsidRPr="00A67873">
              <w:rPr>
                <w:rFonts w:ascii="Times New Roman" w:eastAsia="Times New Roman" w:hAnsi="Times New Roman" w:cs="Times New Roman"/>
                <w:b/>
                <w:lang w:eastAsia="hu-HU"/>
              </w:rPr>
              <w:t>INBKM0315-17 Olvasáskutatás</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1. hét</w:t>
            </w:r>
          </w:p>
        </w:tc>
        <w:tc>
          <w:tcPr>
            <w:tcW w:w="7249" w:type="dxa"/>
            <w:gridSpan w:val="2"/>
            <w:tcBorders>
              <w:top w:val="single" w:sz="4" w:space="0" w:color="000000"/>
              <w:left w:val="nil"/>
              <w:bottom w:val="single" w:sz="4" w:space="0" w:color="000000"/>
              <w:right w:val="single" w:sz="4" w:space="0" w:color="000000"/>
            </w:tcBorders>
            <w:shd w:val="clear" w:color="FFFFFF" w:fill="FFFFFF"/>
            <w:hideMark/>
          </w:tcPr>
          <w:p w:rsidR="00A67873" w:rsidRPr="003364CD" w:rsidRDefault="00A67873" w:rsidP="00C013F3">
            <w:pPr>
              <w:rPr>
                <w:rFonts w:ascii="Times New Roman" w:hAnsi="Times New Roman" w:cs="Times New Roman"/>
                <w:color w:val="000000"/>
              </w:rPr>
            </w:pPr>
            <w:r w:rsidRPr="00A67873">
              <w:rPr>
                <w:rFonts w:ascii="Times New Roman" w:hAnsi="Times New Roman" w:cs="Times New Roman"/>
                <w:color w:val="000000"/>
              </w:rPr>
              <w:t>Az olvasáskutatás területei, célja, története, múltja és jelene</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9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2.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A67873" w:rsidP="00C013F3">
            <w:pPr>
              <w:rPr>
                <w:rFonts w:ascii="Times New Roman" w:hAnsi="Times New Roman" w:cs="Times New Roman"/>
                <w:color w:val="000000"/>
              </w:rPr>
            </w:pPr>
            <w:r w:rsidRPr="00A67873">
              <w:rPr>
                <w:rFonts w:ascii="Times New Roman" w:hAnsi="Times New Roman" w:cs="Times New Roman"/>
                <w:color w:val="000000"/>
              </w:rPr>
              <w:t>Az olvasásfilozófia kérdései, irányzatai</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3.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A67873" w:rsidP="00C013F3">
            <w:pPr>
              <w:rPr>
                <w:rFonts w:ascii="Times New Roman" w:hAnsi="Times New Roman" w:cs="Times New Roman"/>
                <w:color w:val="000000"/>
              </w:rPr>
            </w:pPr>
            <w:r w:rsidRPr="00A67873">
              <w:rPr>
                <w:rFonts w:ascii="Times New Roman" w:hAnsi="Times New Roman" w:cs="Times New Roman"/>
                <w:color w:val="000000"/>
              </w:rPr>
              <w:t>Olvasásfilozófiai megközelítések értelmezése, kifejtése, gyakorlása, konkrét példákon keresztül. Olvasáselméletek.</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4.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A67873" w:rsidP="00C013F3">
            <w:pPr>
              <w:rPr>
                <w:rFonts w:ascii="Times New Roman" w:hAnsi="Times New Roman" w:cs="Times New Roman"/>
                <w:color w:val="000000"/>
              </w:rPr>
            </w:pPr>
            <w:r w:rsidRPr="00A67873">
              <w:rPr>
                <w:rFonts w:ascii="Times New Roman" w:hAnsi="Times New Roman" w:cs="Times New Roman"/>
                <w:color w:val="000000"/>
              </w:rPr>
              <w:t>Az olvasásszociológia helye a tudományok rendszerében, nemzetközi kitekintés, szociológiai módszertani alapok, az olvasásszociológiában használt módszerek részletes bemutatása</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5. hét</w:t>
            </w:r>
          </w:p>
        </w:tc>
        <w:tc>
          <w:tcPr>
            <w:tcW w:w="7249" w:type="dxa"/>
            <w:gridSpan w:val="2"/>
            <w:tcBorders>
              <w:top w:val="nil"/>
              <w:left w:val="nil"/>
              <w:bottom w:val="single" w:sz="4" w:space="0" w:color="000000"/>
              <w:right w:val="single" w:sz="4" w:space="0" w:color="auto"/>
            </w:tcBorders>
            <w:shd w:val="clear" w:color="FFFFFF" w:fill="FFFFFF"/>
            <w:hideMark/>
          </w:tcPr>
          <w:p w:rsidR="00A67873" w:rsidRPr="003364CD" w:rsidRDefault="00A67873" w:rsidP="00C013F3">
            <w:pPr>
              <w:rPr>
                <w:rFonts w:ascii="Times New Roman" w:hAnsi="Times New Roman" w:cs="Times New Roman"/>
                <w:color w:val="000000"/>
              </w:rPr>
            </w:pPr>
            <w:r w:rsidRPr="00A67873">
              <w:rPr>
                <w:rFonts w:ascii="Times New Roman" w:hAnsi="Times New Roman" w:cs="Times New Roman"/>
                <w:color w:val="000000"/>
              </w:rPr>
              <w:t>Nemzetközi olvasásszociológia</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6. hét</w:t>
            </w:r>
          </w:p>
        </w:tc>
        <w:tc>
          <w:tcPr>
            <w:tcW w:w="7249" w:type="dxa"/>
            <w:gridSpan w:val="2"/>
            <w:tcBorders>
              <w:top w:val="nil"/>
              <w:left w:val="nil"/>
              <w:bottom w:val="single" w:sz="4" w:space="0" w:color="000000"/>
              <w:right w:val="single" w:sz="4" w:space="0" w:color="auto"/>
            </w:tcBorders>
            <w:shd w:val="clear" w:color="auto" w:fill="auto"/>
            <w:noWrap/>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Hazai olvasásszociológiai kutatások, műhelyek, eredmények</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7.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Nemzetközi és hazai felmérések, szövegértés és olvasástanítás</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8. hét</w:t>
            </w:r>
          </w:p>
        </w:tc>
        <w:tc>
          <w:tcPr>
            <w:tcW w:w="7249" w:type="dxa"/>
            <w:gridSpan w:val="2"/>
            <w:tcBorders>
              <w:top w:val="nil"/>
              <w:left w:val="nil"/>
              <w:bottom w:val="single" w:sz="4" w:space="0" w:color="auto"/>
              <w:right w:val="single" w:sz="4" w:space="0" w:color="auto"/>
            </w:tcBorders>
            <w:shd w:val="clear" w:color="auto" w:fill="auto"/>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Esettanulmányok</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00"/>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9.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Az olvasáspszichológia története, kapcsolata az oktatással és a könyvtári szolgáltatásokkal</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10.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proofErr w:type="spellStart"/>
            <w:r w:rsidRPr="00427167">
              <w:rPr>
                <w:rFonts w:ascii="Times New Roman" w:hAnsi="Times New Roman" w:cs="Times New Roman"/>
                <w:color w:val="000000"/>
              </w:rPr>
              <w:t>Biblioterápia</w:t>
            </w:r>
            <w:proofErr w:type="spellEnd"/>
            <w:r w:rsidRPr="00427167">
              <w:rPr>
                <w:rFonts w:ascii="Times New Roman" w:hAnsi="Times New Roman" w:cs="Times New Roman"/>
                <w:color w:val="000000"/>
              </w:rPr>
              <w:t xml:space="preserve"> a könyvtárban. Esettanulmányok</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11.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 xml:space="preserve">A </w:t>
            </w:r>
            <w:proofErr w:type="spellStart"/>
            <w:r w:rsidRPr="00427167">
              <w:rPr>
                <w:rFonts w:ascii="Times New Roman" w:hAnsi="Times New Roman" w:cs="Times New Roman"/>
                <w:color w:val="000000"/>
              </w:rPr>
              <w:t>biblioterápiai</w:t>
            </w:r>
            <w:proofErr w:type="spellEnd"/>
            <w:r w:rsidRPr="00427167">
              <w:rPr>
                <w:rFonts w:ascii="Times New Roman" w:hAnsi="Times New Roman" w:cs="Times New Roman"/>
                <w:color w:val="000000"/>
              </w:rPr>
              <w:t xml:space="preserve"> tevékenység módszertana, lehetőségei, fejlesztési irányai</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12.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Olvasáspedagógiai kutatások, módszertan</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13.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Az olvasáspedagógia és könyvtár kapcsolata. Esettanulmány</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14.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Digitális olvasás, az írásbeliség átalakuló tendenciái, digitális kompetenciák az olvasáskutatásban.</w:t>
            </w:r>
          </w:p>
        </w:tc>
      </w:tr>
    </w:tbl>
    <w:p w:rsidR="0000375D" w:rsidRDefault="0000375D"/>
    <w:sectPr w:rsidR="00003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8FA"/>
    <w:multiLevelType w:val="hybridMultilevel"/>
    <w:tmpl w:val="A4723E7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42586570"/>
    <w:multiLevelType w:val="hybridMultilevel"/>
    <w:tmpl w:val="46F2041C"/>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73"/>
    <w:rsid w:val="0000375D"/>
    <w:rsid w:val="003E3561"/>
    <w:rsid w:val="00427167"/>
    <w:rsid w:val="005D743E"/>
    <w:rsid w:val="005F57F8"/>
    <w:rsid w:val="00A67873"/>
    <w:rsid w:val="00C76B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FF578-6ABC-463E-97DA-A7504AB5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4781</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Borbély Mária</dc:creator>
  <cp:keywords/>
  <dc:description/>
  <cp:lastModifiedBy>user</cp:lastModifiedBy>
  <cp:revision>3</cp:revision>
  <dcterms:created xsi:type="dcterms:W3CDTF">2023-08-30T08:12:00Z</dcterms:created>
  <dcterms:modified xsi:type="dcterms:W3CDTF">2023-08-30T08:14:00Z</dcterms:modified>
</cp:coreProperties>
</file>